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45E6A" w14:textId="77777777" w:rsidR="00D05C47" w:rsidRPr="00D05C47" w:rsidRDefault="00D05C47" w:rsidP="00D05C47">
      <w:pPr>
        <w:rPr>
          <w:rFonts w:ascii="Roboto" w:hAnsi="Roboto"/>
          <w:b/>
          <w:bCs/>
          <w:sz w:val="30"/>
          <w:szCs w:val="30"/>
        </w:rPr>
      </w:pPr>
      <w:r w:rsidRPr="00D05C47">
        <w:rPr>
          <w:rFonts w:ascii="Roboto" w:hAnsi="Roboto"/>
          <w:b/>
          <w:bCs/>
          <w:sz w:val="30"/>
          <w:szCs w:val="30"/>
        </w:rPr>
        <w:t>COMPANION DEFENSE &amp; INTEGRATION MANUSCRIPT:</w:t>
      </w:r>
    </w:p>
    <w:p w14:paraId="5F06B949" w14:textId="77777777" w:rsidR="00D05C47" w:rsidRPr="00D05C47" w:rsidRDefault="00D05C47" w:rsidP="00D05C47">
      <w:pPr>
        <w:rPr>
          <w:rFonts w:ascii="Roboto" w:hAnsi="Roboto"/>
          <w:b/>
          <w:bCs/>
          <w:sz w:val="30"/>
          <w:szCs w:val="30"/>
        </w:rPr>
      </w:pPr>
      <w:r w:rsidRPr="00D05C47">
        <w:rPr>
          <w:rFonts w:ascii="Roboto" w:hAnsi="Roboto"/>
          <w:b/>
          <w:bCs/>
          <w:sz w:val="30"/>
          <w:szCs w:val="30"/>
        </w:rPr>
        <w:t>RECONCILING NUMBER-THEORETIC SPECTRAL RIGIDITY WITH DISCIPLINARY CONSENSUS IN MACROMOLECULAR BIOPHYSICS</w:t>
      </w:r>
    </w:p>
    <w:p w14:paraId="5E4169C7" w14:textId="77777777" w:rsidR="00396E85" w:rsidRDefault="00396E85" w:rsidP="00D05C47">
      <w:pPr>
        <w:rPr>
          <w:rFonts w:ascii="Roboto" w:hAnsi="Roboto"/>
          <w:b/>
          <w:bCs/>
        </w:rPr>
      </w:pPr>
    </w:p>
    <w:p w14:paraId="1FFF08E0" w14:textId="77ED1B68" w:rsidR="00D05C47" w:rsidRPr="00D05C47" w:rsidRDefault="00D05C47" w:rsidP="00D05C47">
      <w:pPr>
        <w:rPr>
          <w:rFonts w:ascii="Roboto" w:hAnsi="Roboto"/>
        </w:rPr>
      </w:pPr>
      <w:r w:rsidRPr="00D05C47">
        <w:rPr>
          <w:rFonts w:ascii="Roboto" w:hAnsi="Roboto"/>
          <w:b/>
          <w:bCs/>
        </w:rPr>
        <w:t>Author:</w:t>
      </w:r>
      <w:r w:rsidRPr="00D05C47">
        <w:rPr>
          <w:rFonts w:ascii="Roboto" w:hAnsi="Roboto"/>
        </w:rPr>
        <w:t xml:space="preserve"> Mark Randall Dreher</w:t>
      </w:r>
      <w:r w:rsidRPr="00D05C47">
        <w:rPr>
          <w:rFonts w:ascii="Roboto" w:hAnsi="Roboto"/>
        </w:rPr>
        <w:br/>
      </w:r>
      <w:r w:rsidRPr="00D05C47">
        <w:rPr>
          <w:rFonts w:ascii="Roboto" w:hAnsi="Roboto"/>
          <w:b/>
          <w:bCs/>
        </w:rPr>
        <w:t>Affiliation:</w:t>
      </w:r>
      <w:r w:rsidRPr="00D05C47">
        <w:rPr>
          <w:rFonts w:ascii="Roboto" w:hAnsi="Roboto"/>
        </w:rPr>
        <w:t xml:space="preserve"> MixerMuse, LLC, Louisville, Colorado</w:t>
      </w:r>
      <w:r w:rsidRPr="00D05C47">
        <w:rPr>
          <w:rFonts w:ascii="Roboto" w:hAnsi="Roboto"/>
        </w:rPr>
        <w:br/>
      </w:r>
      <w:r w:rsidRPr="00D05C47">
        <w:rPr>
          <w:rFonts w:ascii="Roboto" w:hAnsi="Roboto"/>
          <w:b/>
          <w:bCs/>
        </w:rPr>
        <w:t>ORCID iD:</w:t>
      </w:r>
      <w:r w:rsidRPr="00D05C47">
        <w:rPr>
          <w:rFonts w:ascii="Roboto" w:hAnsi="Roboto"/>
        </w:rPr>
        <w:t xml:space="preserve"> 0009-0001-8341-8175</w:t>
      </w:r>
      <w:r w:rsidRPr="00D05C47">
        <w:rPr>
          <w:rFonts w:ascii="Roboto" w:hAnsi="Roboto"/>
        </w:rPr>
        <w:br/>
      </w:r>
      <w:r w:rsidRPr="00D05C47">
        <w:rPr>
          <w:rFonts w:ascii="Roboto" w:hAnsi="Roboto"/>
          <w:b/>
          <w:bCs/>
        </w:rPr>
        <w:t>Document Status:</w:t>
      </w:r>
      <w:r w:rsidRPr="00D05C47">
        <w:rPr>
          <w:rFonts w:ascii="Roboto" w:hAnsi="Roboto"/>
        </w:rPr>
        <w:t xml:space="preserve"> Official Companion Addendum to Master Specification V6</w:t>
      </w:r>
    </w:p>
    <w:p w14:paraId="742CED19" w14:textId="77777777" w:rsidR="0009583A" w:rsidRDefault="000F65E2" w:rsidP="001679E7">
      <w:pPr>
        <w:spacing w:before="480" w:after="480"/>
        <w:rPr>
          <w:rFonts w:ascii="Roboto" w:hAnsi="Roboto"/>
          <w:b/>
          <w:bCs/>
          <w:sz w:val="30"/>
          <w:szCs w:val="30"/>
        </w:rPr>
      </w:pPr>
      <w:r w:rsidRPr="000F65E2">
        <w:rPr>
          <w:noProof/>
          <w14:ligatures w14:val="standardContextual"/>
        </w:rPr>
        <w:pict w14:anchorId="249654C4">
          <v:rect id="_x0000_i1031" alt="" style="width:468pt;height:.05pt;mso-width-percent:0;mso-height-percent:0;mso-width-percent:0;mso-height-percent:0" o:hralign="center" o:hrstd="t" o:hr="t" fillcolor="#a0a0a0" stroked="f"/>
        </w:pict>
      </w:r>
    </w:p>
    <w:p w14:paraId="202E0CA2" w14:textId="77777777" w:rsidR="0009583A" w:rsidRDefault="0009583A" w:rsidP="001679E7">
      <w:pPr>
        <w:spacing w:before="480" w:after="480"/>
        <w:rPr>
          <w:rFonts w:ascii="Roboto" w:hAnsi="Roboto"/>
          <w:b/>
          <w:bCs/>
          <w:sz w:val="30"/>
          <w:szCs w:val="30"/>
        </w:rPr>
      </w:pPr>
    </w:p>
    <w:p w14:paraId="7AB1CF03" w14:textId="7BF10C2D" w:rsidR="0009583A" w:rsidRDefault="0009583A" w:rsidP="001679E7">
      <w:pPr>
        <w:spacing w:before="480" w:after="480"/>
        <w:rPr>
          <w:rFonts w:ascii="Roboto" w:hAnsi="Roboto"/>
          <w:b/>
          <w:bCs/>
          <w:sz w:val="30"/>
          <w:szCs w:val="30"/>
        </w:rPr>
        <w:sectPr w:rsidR="0009583A" w:rsidSect="0009583A">
          <w:headerReference w:type="even" r:id="rId7"/>
          <w:footerReference w:type="even" r:id="rId8"/>
          <w:footerReference w:type="default" r:id="rId9"/>
          <w:pgSz w:w="12240" w:h="15840"/>
          <w:pgMar w:top="1440" w:right="1440" w:bottom="1440" w:left="1440" w:header="720" w:footer="720" w:gutter="0"/>
          <w:cols w:space="720"/>
          <w:vAlign w:val="center"/>
          <w:docGrid w:linePitch="360"/>
        </w:sectPr>
      </w:pPr>
    </w:p>
    <w:p w14:paraId="6D2BA5F9" w14:textId="77777777" w:rsidR="006466F7" w:rsidRPr="006466F7" w:rsidRDefault="006466F7" w:rsidP="006466F7">
      <w:pPr>
        <w:jc w:val="center"/>
        <w:rPr>
          <w:rFonts w:ascii="Roboto" w:hAnsi="Roboto"/>
          <w:b/>
          <w:bCs/>
          <w:sz w:val="30"/>
          <w:szCs w:val="30"/>
        </w:rPr>
      </w:pPr>
      <w:r w:rsidRPr="006466F7">
        <w:rPr>
          <w:rFonts w:ascii="Roboto" w:hAnsi="Roboto"/>
          <w:b/>
          <w:bCs/>
          <w:sz w:val="30"/>
          <w:szCs w:val="30"/>
        </w:rPr>
        <w:lastRenderedPageBreak/>
        <w:t>ABSTRACT</w:t>
      </w:r>
    </w:p>
    <w:p w14:paraId="5F40B895" w14:textId="77777777" w:rsidR="006466F7" w:rsidRDefault="006466F7" w:rsidP="006466F7">
      <w:pPr>
        <w:rPr>
          <w:rFonts w:ascii="Roboto" w:hAnsi="Roboto"/>
        </w:rPr>
      </w:pPr>
    </w:p>
    <w:p w14:paraId="3E8B2590" w14:textId="59925E83" w:rsidR="006466F7" w:rsidRPr="006466F7" w:rsidRDefault="006466F7" w:rsidP="006466F7">
      <w:pPr>
        <w:rPr>
          <w:rFonts w:ascii="Roboto" w:hAnsi="Roboto"/>
        </w:rPr>
      </w:pPr>
      <w:r w:rsidRPr="006466F7">
        <w:rPr>
          <w:rFonts w:ascii="Roboto" w:hAnsi="Roboto"/>
        </w:rPr>
        <w:t xml:space="preserve">This companion paper provides a systematic, bottom-up theoretical defense of </w:t>
      </w:r>
      <w:r w:rsidRPr="006466F7">
        <w:rPr>
          <w:rFonts w:ascii="Roboto" w:hAnsi="Roboto"/>
          <w:i/>
          <w:iCs/>
        </w:rPr>
        <w:t>Topological Genome Engineering</w:t>
      </w:r>
      <w:r w:rsidRPr="006466F7">
        <w:rPr>
          <w:rFonts w:ascii="Roboto" w:hAnsi="Roboto"/>
        </w:rPr>
        <w:t xml:space="preserve"> against standard institutional and corporate critiques. By contextualizing the framework within non-linear lattice dynamics and open-system statistical mechanics, we seek to resolve the apparent paradoxes regarding macroscopic thermalization, thermodynamic conservation, and polymer scaling. We hope to establish that the prime-number coordinate distribution does not bypass existing macroscopic biological frameworks but instead introduces an underlying semiclassical mechanism that serves as their necessary physical anchor.</w:t>
      </w:r>
    </w:p>
    <w:p w14:paraId="7B2CD28F" w14:textId="77777777" w:rsidR="006466F7" w:rsidRPr="006466F7" w:rsidRDefault="000F65E2" w:rsidP="006466F7">
      <w:pPr>
        <w:spacing w:before="480" w:after="480"/>
        <w:rPr>
          <w:rFonts w:ascii="Roboto" w:hAnsi="Roboto"/>
          <w:sz w:val="21"/>
          <w:szCs w:val="21"/>
        </w:rPr>
      </w:pPr>
      <w:r w:rsidRPr="000F65E2">
        <w:rPr>
          <w:noProof/>
          <w14:ligatures w14:val="standardContextual"/>
        </w:rPr>
        <w:pict w14:anchorId="2AAA8611">
          <v:rect id="_x0000_i1030" alt="" style="width:468pt;height:.05pt;mso-width-percent:0;mso-height-percent:0;mso-width-percent:0;mso-height-percent:0" o:hralign="center" o:hrstd="t" o:hr="t" fillcolor="#a0a0a0" stroked="f"/>
        </w:pict>
      </w:r>
    </w:p>
    <w:p w14:paraId="583A9239" w14:textId="77777777" w:rsidR="00590F5A" w:rsidRDefault="00590F5A" w:rsidP="00590F5A">
      <w:pPr>
        <w:rPr>
          <w:rFonts w:ascii="Roboto" w:hAnsi="Roboto"/>
          <w:b/>
          <w:bCs/>
          <w:sz w:val="30"/>
          <w:szCs w:val="30"/>
        </w:rPr>
      </w:pPr>
      <w:r>
        <w:rPr>
          <w:rFonts w:ascii="Roboto" w:hAnsi="Roboto"/>
          <w:b/>
          <w:bCs/>
          <w:sz w:val="30"/>
          <w:szCs w:val="30"/>
        </w:rPr>
        <w:t>INSTITUTIONAL CROSS-REFERENCE NOTE</w:t>
      </w:r>
    </w:p>
    <w:p w14:paraId="6201FBDB" w14:textId="77777777" w:rsidR="00590F5A" w:rsidRDefault="00590F5A" w:rsidP="00590F5A">
      <w:pPr>
        <w:rPr>
          <w:rStyle w:val="Emphasis"/>
          <w:rFonts w:ascii="Roboto" w:hAnsi="Roboto"/>
        </w:rPr>
      </w:pPr>
    </w:p>
    <w:p w14:paraId="5A08803A" w14:textId="28911C93" w:rsidR="00590F5A" w:rsidRDefault="00590F5A" w:rsidP="00590F5A">
      <w:pPr>
        <w:rPr>
          <w:rFonts w:ascii="Roboto" w:hAnsi="Roboto"/>
        </w:rPr>
      </w:pPr>
      <w:r>
        <w:rPr>
          <w:rStyle w:val="Emphasis"/>
          <w:rFonts w:ascii="Roboto" w:hAnsi="Roboto"/>
        </w:rPr>
        <w:t xml:space="preserve">The bracketed numbers throughout this defense dossier (e.g., </w:t>
      </w:r>
      <w:r>
        <w:rPr>
          <w:rStyle w:val="HTMLCode"/>
          <w:i/>
          <w:iCs/>
          <w:sz w:val="21"/>
          <w:szCs w:val="21"/>
        </w:rPr>
        <w:t>[Master Spec § X.Y]</w:t>
      </w:r>
      <w:r>
        <w:rPr>
          <w:rStyle w:val="Emphasis"/>
          <w:rFonts w:ascii="Roboto" w:hAnsi="Roboto"/>
        </w:rPr>
        <w:t xml:space="preserve">) refer explicitly to the corresponding structural sections, mathematical derivations, and laboratory protocols established in the primary monograph: </w:t>
      </w:r>
      <w:r>
        <w:rPr>
          <w:rStyle w:val="Strong"/>
          <w:rFonts w:ascii="Roboto" w:hAnsi="Roboto"/>
          <w:i/>
          <w:iCs/>
        </w:rPr>
        <w:t>Topological Genome Engineering: Number-Theoretic Spectral Rigidity and Semiclassical Wave Scars as Active Structural Stabilizers in Synthetic Macromolecules (Master Specification Version V6)</w:t>
      </w:r>
      <w:r>
        <w:rPr>
          <w:rStyle w:val="Emphasis"/>
          <w:rFonts w:ascii="Roboto" w:hAnsi="Roboto"/>
        </w:rPr>
        <w:t>.</w:t>
      </w:r>
    </w:p>
    <w:p w14:paraId="39781D1C" w14:textId="5C7A3C5E" w:rsidR="00D123A6" w:rsidRPr="002F6F85" w:rsidRDefault="000F65E2" w:rsidP="002F6F85">
      <w:pPr>
        <w:spacing w:before="480" w:after="480"/>
        <w:rPr>
          <w:rFonts w:ascii="Roboto" w:hAnsi="Roboto"/>
          <w:sz w:val="21"/>
          <w:szCs w:val="21"/>
        </w:rPr>
      </w:pPr>
      <w:r w:rsidRPr="000F65E2">
        <w:rPr>
          <w:noProof/>
          <w14:ligatures w14:val="standardContextual"/>
        </w:rPr>
        <w:pict w14:anchorId="64EE9608">
          <v:rect id="_x0000_i1029" alt="" style="width:468pt;height:.05pt;mso-width-percent:0;mso-height-percent:0;mso-width-percent:0;mso-height-percent:0" o:hralign="center" o:hrstd="t" o:hr="t" fillcolor="#a0a0a0" stroked="f"/>
        </w:pict>
      </w:r>
    </w:p>
    <w:p w14:paraId="01DFF781" w14:textId="77777777" w:rsidR="00D123A6" w:rsidRDefault="00D123A6" w:rsidP="00D123A6">
      <w:pPr>
        <w:rPr>
          <w:rFonts w:ascii="Roboto" w:hAnsi="Roboto"/>
          <w:b/>
          <w:bCs/>
          <w:sz w:val="30"/>
          <w:szCs w:val="30"/>
        </w:rPr>
      </w:pPr>
      <w:r>
        <w:rPr>
          <w:rFonts w:ascii="Roboto" w:hAnsi="Roboto"/>
          <w:b/>
          <w:bCs/>
          <w:sz w:val="30"/>
          <w:szCs w:val="30"/>
        </w:rPr>
        <w:t>I. The Thermodynamics Critique</w:t>
      </w:r>
    </w:p>
    <w:p w14:paraId="1B965DFB" w14:textId="77777777" w:rsidR="00D123A6" w:rsidRDefault="00D123A6" w:rsidP="00D123A6">
      <w:pPr>
        <w:rPr>
          <w:rFonts w:ascii="Roboto" w:hAnsi="Roboto"/>
          <w:b/>
          <w:bCs/>
        </w:rPr>
      </w:pPr>
    </w:p>
    <w:p w14:paraId="0826CDD5" w14:textId="31BC3051" w:rsidR="00D123A6" w:rsidRDefault="00D123A6" w:rsidP="00D123A6">
      <w:pPr>
        <w:rPr>
          <w:rFonts w:ascii="Roboto" w:hAnsi="Roboto"/>
          <w:b/>
          <w:bCs/>
        </w:rPr>
      </w:pPr>
      <w:r>
        <w:rPr>
          <w:rFonts w:ascii="Roboto" w:hAnsi="Roboto"/>
          <w:b/>
          <w:bCs/>
        </w:rPr>
        <w:t>1.1 The Critique:</w:t>
      </w:r>
    </w:p>
    <w:p w14:paraId="073B2993" w14:textId="77777777" w:rsidR="00D123A6" w:rsidRDefault="00D123A6" w:rsidP="00D123A6">
      <w:pPr>
        <w:rPr>
          <w:rStyle w:val="Emphasis"/>
          <w:rFonts w:ascii="Roboto" w:hAnsi="Roboto"/>
        </w:rPr>
      </w:pPr>
    </w:p>
    <w:p w14:paraId="53B3202C" w14:textId="72A035C1" w:rsidR="00D123A6" w:rsidRDefault="00D123A6" w:rsidP="00D123A6">
      <w:pPr>
        <w:rPr>
          <w:rFonts w:ascii="Roboto" w:hAnsi="Roboto"/>
        </w:rPr>
      </w:pPr>
      <w:r>
        <w:rPr>
          <w:rStyle w:val="Emphasis"/>
          <w:rFonts w:ascii="Roboto" w:hAnsi="Roboto"/>
        </w:rPr>
        <w:t>“This framework represents an impossible thermodynamic anomaly. It implies a localized violation of the Second Law of Thermodynamics by suggesting a passive sequence can act as an infinite, dissipation-free structural shield against ambient heat without an active energy input.”</w:t>
      </w:r>
    </w:p>
    <w:p w14:paraId="0E711FD0" w14:textId="77777777" w:rsidR="00D123A6" w:rsidRDefault="00D123A6" w:rsidP="00D123A6">
      <w:pPr>
        <w:rPr>
          <w:rFonts w:ascii="Roboto" w:hAnsi="Roboto"/>
          <w:b/>
          <w:bCs/>
        </w:rPr>
      </w:pPr>
    </w:p>
    <w:p w14:paraId="19E626DF" w14:textId="03B694A5" w:rsidR="00D123A6" w:rsidRDefault="00D123A6" w:rsidP="00D123A6">
      <w:pPr>
        <w:rPr>
          <w:rFonts w:ascii="Roboto" w:hAnsi="Roboto"/>
          <w:b/>
          <w:bCs/>
        </w:rPr>
      </w:pPr>
      <w:r>
        <w:rPr>
          <w:rFonts w:ascii="Roboto" w:hAnsi="Roboto"/>
          <w:b/>
          <w:bCs/>
        </w:rPr>
        <w:t>1.2 The Scientific Counter-Defense:</w:t>
      </w:r>
    </w:p>
    <w:p w14:paraId="79622494" w14:textId="77777777" w:rsidR="00D123A6" w:rsidRDefault="00D123A6" w:rsidP="00D123A6">
      <w:pPr>
        <w:rPr>
          <w:rFonts w:ascii="Roboto" w:hAnsi="Roboto"/>
        </w:rPr>
      </w:pPr>
    </w:p>
    <w:p w14:paraId="2D6DFCF9" w14:textId="12E0395E" w:rsidR="00D123A6" w:rsidRDefault="00D123A6" w:rsidP="00D123A6">
      <w:pPr>
        <w:rPr>
          <w:rFonts w:ascii="Roboto" w:hAnsi="Roboto"/>
        </w:rPr>
      </w:pPr>
      <w:r>
        <w:rPr>
          <w:rFonts w:ascii="Roboto" w:hAnsi="Roboto"/>
        </w:rPr>
        <w:lastRenderedPageBreak/>
        <w:t>This architecture operates strictly within the framework of non-equilibrium statistical mechanics and does not violate the Second Law of Thermodynamics (</w:t>
      </w:r>
      <m:oMath>
        <m:r>
          <m:rPr>
            <m:sty m:val="p"/>
          </m:rPr>
          <w:rPr>
            <w:rFonts w:ascii="Cambria Math" w:hAnsi="Cambria Math"/>
          </w:rPr>
          <m:t>Δ</m:t>
        </m:r>
        <m:sSub>
          <m:sSubPr>
            <m:ctrlPr>
              <w:rPr>
                <w:rFonts w:ascii="Cambria Math" w:hAnsi="Cambria Math"/>
              </w:rPr>
            </m:ctrlPr>
          </m:sSubPr>
          <m:e>
            <m:r>
              <w:rPr>
                <w:rFonts w:ascii="Cambria Math" w:hAnsi="Cambria Math"/>
              </w:rPr>
              <m:t>S</m:t>
            </m:r>
          </m:e>
          <m:sub>
            <m:r>
              <m:rPr>
                <m:nor/>
              </m:rPr>
              <w:rPr>
                <w:rFonts w:ascii="Roboto" w:hAnsi="Roboto"/>
              </w:rPr>
              <m:t>total</m:t>
            </m:r>
          </m:sub>
        </m:sSub>
        <m:r>
          <w:rPr>
            <w:rFonts w:ascii="Cambria Math" w:hAnsi="Cambria Math"/>
          </w:rPr>
          <m:t>≥0</m:t>
        </m:r>
      </m:oMath>
      <w:r>
        <w:rPr>
          <w:rFonts w:ascii="Roboto" w:hAnsi="Roboto"/>
        </w:rPr>
        <w:t xml:space="preserve">). The system does not function as a closed, passive insulator, but rather as an </w:t>
      </w:r>
      <w:r w:rsidRPr="00F3010E">
        <w:rPr>
          <w:rFonts w:ascii="Roboto" w:hAnsi="Roboto"/>
          <w:b/>
          <w:bCs/>
        </w:rPr>
        <w:t>open, periodically driven (Floquet) system coupled to a dissipative thermal reservoir</w:t>
      </w:r>
      <w:r>
        <w:rPr>
          <w:rFonts w:ascii="Roboto" w:hAnsi="Roboto"/>
        </w:rPr>
        <w:t xml:space="preserve">—specifically, the turbulent aqueous cytosol </w:t>
      </w:r>
      <w:r>
        <w:rPr>
          <w:rStyle w:val="HTMLCode"/>
          <w:b/>
          <w:bCs/>
          <w:sz w:val="21"/>
          <w:szCs w:val="21"/>
        </w:rPr>
        <w:t>[1.4, 5.1]</w:t>
      </w:r>
      <w:r>
        <w:rPr>
          <w:rFonts w:ascii="Roboto" w:hAnsi="Roboto"/>
        </w:rPr>
        <w:t>.</w:t>
      </w:r>
    </w:p>
    <w:p w14:paraId="4ADA006A" w14:textId="77777777" w:rsidR="00D123A6" w:rsidRDefault="00D123A6" w:rsidP="00D123A6">
      <w:pPr>
        <w:rPr>
          <w:rFonts w:ascii="Roboto" w:hAnsi="Roboto"/>
        </w:rPr>
      </w:pPr>
    </w:p>
    <w:p w14:paraId="6F8EACA1" w14:textId="45222B0A" w:rsidR="00D123A6" w:rsidRDefault="00D123A6" w:rsidP="00D123A6">
      <w:pPr>
        <w:rPr>
          <w:rFonts w:ascii="Roboto" w:hAnsi="Roboto"/>
        </w:rPr>
      </w:pPr>
      <w:r>
        <w:rPr>
          <w:rFonts w:ascii="Roboto" w:hAnsi="Roboto"/>
        </w:rPr>
        <w:t xml:space="preserve">Rather than achieving an absolute reduction in global thermodynamic entropy, the number-theoretic sequence layout enforces </w:t>
      </w:r>
      <w:r w:rsidRPr="00F3010E">
        <w:rPr>
          <w:rFonts w:ascii="Roboto" w:hAnsi="Roboto"/>
          <w:b/>
          <w:bCs/>
        </w:rPr>
        <w:t>spatial mode localization</w:t>
      </w:r>
      <w:r>
        <w:rPr>
          <w:rFonts w:ascii="Roboto" w:hAnsi="Roboto"/>
        </w:rPr>
        <w:t xml:space="preserve">. This represents a rigorous breakdown of the Eigenstate Thermalization Hypothesis (ETH) restricted entirely to a measure-zero subspace of the macromolecular configuration space </w:t>
      </w:r>
      <w:r>
        <w:rPr>
          <w:rStyle w:val="HTMLCode"/>
          <w:b/>
          <w:bCs/>
          <w:sz w:val="21"/>
          <w:szCs w:val="21"/>
        </w:rPr>
        <w:t>[1.4, 3.2]</w:t>
      </w:r>
      <w:r>
        <w:rPr>
          <w:rFonts w:ascii="Roboto" w:hAnsi="Roboto"/>
        </w:rPr>
        <w:t xml:space="preserve">. By structurally hardcoding Gutzwiller prime-orbit recurrence networks into the physical polymer spacing, we introduce a discrete, sequence-dependent mass-density and structural stiffness modulation network </w:t>
      </w:r>
      <w:r>
        <w:rPr>
          <w:rStyle w:val="HTMLCode"/>
          <w:b/>
          <w:bCs/>
          <w:sz w:val="21"/>
          <w:szCs w:val="21"/>
        </w:rPr>
        <w:t>[1.3, 4.2]</w:t>
      </w:r>
      <w:r>
        <w:rPr>
          <w:rFonts w:ascii="Roboto" w:hAnsi="Roboto"/>
        </w:rPr>
        <w:t>.</w:t>
      </w:r>
    </w:p>
    <w:p w14:paraId="6FD8D149" w14:textId="77777777" w:rsidR="00D123A6" w:rsidRDefault="00D123A6" w:rsidP="00D123A6">
      <w:pPr>
        <w:rPr>
          <w:rFonts w:ascii="Roboto" w:hAnsi="Roboto"/>
          <w:b/>
          <w:bCs/>
        </w:rPr>
      </w:pPr>
    </w:p>
    <w:p w14:paraId="4F8183F7" w14:textId="284EBDEC" w:rsidR="00D123A6" w:rsidRDefault="00D123A6" w:rsidP="00D123A6">
      <w:pPr>
        <w:rPr>
          <w:rFonts w:ascii="Roboto" w:hAnsi="Roboto"/>
          <w:b/>
          <w:bCs/>
        </w:rPr>
      </w:pPr>
      <w:r>
        <w:rPr>
          <w:rFonts w:ascii="Roboto" w:hAnsi="Roboto"/>
          <w:b/>
          <w:bCs/>
        </w:rPr>
        <w:t>1.3 The Response:</w:t>
      </w:r>
    </w:p>
    <w:p w14:paraId="517A0599" w14:textId="77777777" w:rsidR="00D123A6" w:rsidRDefault="00D123A6" w:rsidP="00D123A6">
      <w:pPr>
        <w:rPr>
          <w:rFonts w:ascii="Roboto" w:hAnsi="Roboto"/>
        </w:rPr>
      </w:pPr>
    </w:p>
    <w:p w14:paraId="36B06EBA" w14:textId="6BE1D374" w:rsidR="00D123A6" w:rsidRDefault="00D123A6" w:rsidP="00D123A6">
      <w:pPr>
        <w:rPr>
          <w:rFonts w:ascii="Roboto" w:hAnsi="Roboto"/>
        </w:rPr>
      </w:pPr>
      <w:r>
        <w:rPr>
          <w:rFonts w:ascii="Roboto" w:hAnsi="Roboto"/>
        </w:rPr>
        <w:t xml:space="preserve">"We are absolutely not proposing a violation of the Second Law or the operation of a Maxwellian demon. The engineered chromosome functions as a </w:t>
      </w:r>
      <w:r w:rsidRPr="00F3010E">
        <w:rPr>
          <w:rFonts w:ascii="Roboto" w:hAnsi="Roboto"/>
          <w:b/>
          <w:bCs/>
        </w:rPr>
        <w:t>highly dynamic, self-modulating classical phononic waveguide</w:t>
      </w:r>
      <w:r>
        <w:rPr>
          <w:rFonts w:ascii="Roboto" w:hAnsi="Roboto"/>
        </w:rPr>
        <w:t xml:space="preserve"> that actively redistributes kinetic energy routing </w:t>
      </w:r>
      <w:r>
        <w:rPr>
          <w:rStyle w:val="HTMLCode"/>
          <w:b/>
          <w:bCs/>
          <w:sz w:val="21"/>
          <w:szCs w:val="21"/>
        </w:rPr>
        <w:t>[1.4, 5.1]</w:t>
      </w:r>
      <w:r>
        <w:rPr>
          <w:rFonts w:ascii="Roboto" w:hAnsi="Roboto"/>
        </w:rPr>
        <w:t xml:space="preserve">. Broadband environmental thermal noise bombarding the macromolecule is not static; it presents a continuously shifting spectrum of high-energy mechanical edge-mode threats </w:t>
      </w:r>
      <w:r>
        <w:rPr>
          <w:rStyle w:val="HTMLCode"/>
          <w:b/>
          <w:bCs/>
          <w:sz w:val="21"/>
          <w:szCs w:val="21"/>
        </w:rPr>
        <w:t>[5.1, 7.1]</w:t>
      </w:r>
      <w:r>
        <w:rPr>
          <w:rFonts w:ascii="Roboto" w:hAnsi="Roboto"/>
        </w:rPr>
        <w:t>.</w:t>
      </w:r>
    </w:p>
    <w:p w14:paraId="0E760C4F" w14:textId="77777777" w:rsidR="00D123A6" w:rsidRDefault="00D123A6" w:rsidP="00D123A6">
      <w:pPr>
        <w:rPr>
          <w:rFonts w:ascii="Roboto" w:hAnsi="Roboto"/>
        </w:rPr>
      </w:pPr>
    </w:p>
    <w:p w14:paraId="2994A0CD" w14:textId="51358D2E" w:rsidR="00D123A6" w:rsidRDefault="00D123A6" w:rsidP="00D123A6">
      <w:pPr>
        <w:rPr>
          <w:rFonts w:ascii="Roboto" w:hAnsi="Roboto"/>
        </w:rPr>
      </w:pPr>
      <w:r>
        <w:rPr>
          <w:rFonts w:ascii="Roboto" w:hAnsi="Roboto"/>
        </w:rPr>
        <w:t xml:space="preserve">To effectively counter this varying thermodynamic profile, the architecture does not rely on a fixed barrier, but rather on an </w:t>
      </w:r>
      <w:r w:rsidRPr="00F3010E">
        <w:rPr>
          <w:rFonts w:ascii="Roboto" w:hAnsi="Roboto"/>
          <w:b/>
          <w:bCs/>
        </w:rPr>
        <w:t>infinite series of long, finite prime-number sequence sets embedded at each G-C phase boundary</w:t>
      </w:r>
      <w:r>
        <w:rPr>
          <w:rFonts w:ascii="Roboto" w:hAnsi="Roboto"/>
        </w:rPr>
        <w:t xml:space="preserve"> </w:t>
      </w:r>
      <w:r>
        <w:rPr>
          <w:rStyle w:val="HTMLCode"/>
          <w:b/>
          <w:bCs/>
          <w:sz w:val="21"/>
          <w:szCs w:val="21"/>
        </w:rPr>
        <w:t>[4.2, 8.2]</w:t>
      </w:r>
      <w:r>
        <w:rPr>
          <w:rFonts w:ascii="Roboto" w:hAnsi="Roboto"/>
        </w:rPr>
        <w:t xml:space="preserve">. As local thermal fluctuations compress or expand individual segments of the double helix, the system functions as a </w:t>
      </w:r>
      <w:r w:rsidRPr="00F3010E">
        <w:rPr>
          <w:rFonts w:ascii="Roboto" w:hAnsi="Roboto"/>
          <w:b/>
          <w:bCs/>
        </w:rPr>
        <w:t>reconfigurable, elastically deformable phononic lattice</w:t>
      </w:r>
      <w:r>
        <w:rPr>
          <w:rFonts w:ascii="Roboto" w:hAnsi="Roboto"/>
        </w:rPr>
        <w:t xml:space="preserve"> </w:t>
      </w:r>
      <w:r>
        <w:rPr>
          <w:rStyle w:val="HTMLCode"/>
          <w:b/>
          <w:bCs/>
          <w:sz w:val="21"/>
          <w:szCs w:val="21"/>
        </w:rPr>
        <w:t>[5.1]</w:t>
      </w:r>
      <w:r>
        <w:rPr>
          <w:rFonts w:ascii="Roboto" w:hAnsi="Roboto"/>
        </w:rPr>
        <w:t xml:space="preserve">. This structural breathing </w:t>
      </w:r>
      <w:r w:rsidRPr="00F3010E">
        <w:rPr>
          <w:rFonts w:ascii="Roboto" w:hAnsi="Roboto"/>
          <w:b/>
          <w:bCs/>
        </w:rPr>
        <w:t>acts as a mechanical analog to a macroscopic accordion</w:t>
      </w:r>
      <w:r>
        <w:rPr>
          <w:rFonts w:ascii="Roboto" w:hAnsi="Roboto"/>
        </w:rPr>
        <w:t xml:space="preserve">, dynamically modulating local lattice intervals across the number spectrum to continuously shift through successive, long-range prime-distribution intervals and match changing external wave vectors </w:t>
      </w:r>
      <w:r>
        <w:rPr>
          <w:rStyle w:val="HTMLCode"/>
          <w:b/>
          <w:bCs/>
          <w:sz w:val="21"/>
          <w:szCs w:val="21"/>
        </w:rPr>
        <w:t>[5.1, 9.1]</w:t>
      </w:r>
      <w:r>
        <w:rPr>
          <w:rFonts w:ascii="Roboto" w:hAnsi="Roboto"/>
        </w:rPr>
        <w:t>.</w:t>
      </w:r>
    </w:p>
    <w:p w14:paraId="0D9A974C" w14:textId="77777777" w:rsidR="00D123A6" w:rsidRDefault="00D123A6" w:rsidP="00D123A6">
      <w:pPr>
        <w:rPr>
          <w:rFonts w:ascii="Roboto" w:hAnsi="Roboto"/>
        </w:rPr>
      </w:pPr>
    </w:p>
    <w:p w14:paraId="45E99A09" w14:textId="61C2EA12" w:rsidR="00D123A6" w:rsidRDefault="00D123A6" w:rsidP="00D123A6">
      <w:pPr>
        <w:rPr>
          <w:rFonts w:ascii="Roboto" w:hAnsi="Roboto"/>
        </w:rPr>
      </w:pPr>
      <w:r>
        <w:rPr>
          <w:rFonts w:ascii="Roboto" w:hAnsi="Roboto"/>
        </w:rPr>
        <w:t xml:space="preserve">Crucially, these dynamically adjusting prime-spaced G-C boundaries function as an array of </w:t>
      </w:r>
      <w:r w:rsidRPr="00F3010E">
        <w:rPr>
          <w:rFonts w:ascii="Roboto" w:hAnsi="Roboto"/>
          <w:b/>
          <w:bCs/>
        </w:rPr>
        <w:t>deep kinetic potential wells</w:t>
      </w:r>
      <w:r>
        <w:rPr>
          <w:rFonts w:ascii="Roboto" w:hAnsi="Roboto"/>
        </w:rPr>
        <w:t xml:space="preserve"> </w:t>
      </w:r>
      <w:r>
        <w:rPr>
          <w:rStyle w:val="HTMLCode"/>
          <w:b/>
          <w:bCs/>
          <w:sz w:val="21"/>
          <w:szCs w:val="21"/>
        </w:rPr>
        <w:t>[6.1, 6.4]</w:t>
      </w:r>
      <w:r>
        <w:rPr>
          <w:rFonts w:ascii="Roboto" w:hAnsi="Roboto"/>
        </w:rPr>
        <w:t xml:space="preserve">. When high-energy kinetic edge-modes encounter these nodes, they become spatially trapped and localized within these number-theoretic potential wells </w:t>
      </w:r>
      <w:r>
        <w:rPr>
          <w:rStyle w:val="HTMLCode"/>
          <w:b/>
          <w:bCs/>
          <w:sz w:val="21"/>
          <w:szCs w:val="21"/>
        </w:rPr>
        <w:t>[6.1, 6.4]</w:t>
      </w:r>
      <w:r>
        <w:rPr>
          <w:rFonts w:ascii="Roboto" w:hAnsi="Roboto"/>
        </w:rPr>
        <w:t xml:space="preserve">. This localization forces incoming transverse acoustic waves into high reflection coefficients and complete coherent destructive phase interference, abruptly attenuating their kinetic amplitudes directly at the phase boundaries </w:t>
      </w:r>
      <w:r>
        <w:rPr>
          <w:rStyle w:val="HTMLCode"/>
          <w:b/>
          <w:bCs/>
          <w:sz w:val="21"/>
          <w:szCs w:val="21"/>
        </w:rPr>
        <w:t>[1.4, Appendix A.3]</w:t>
      </w:r>
      <w:r>
        <w:rPr>
          <w:rFonts w:ascii="Roboto" w:hAnsi="Roboto"/>
        </w:rPr>
        <w:t>.</w:t>
      </w:r>
    </w:p>
    <w:p w14:paraId="01662D07" w14:textId="77777777" w:rsidR="00D123A6" w:rsidRDefault="00D123A6" w:rsidP="00D123A6">
      <w:pPr>
        <w:rPr>
          <w:rFonts w:ascii="Roboto" w:hAnsi="Roboto"/>
        </w:rPr>
      </w:pPr>
    </w:p>
    <w:p w14:paraId="2DC722A3" w14:textId="3D8DB7E3" w:rsidR="00D123A6" w:rsidRDefault="00D123A6" w:rsidP="00D123A6">
      <w:pPr>
        <w:rPr>
          <w:rFonts w:ascii="Roboto" w:hAnsi="Roboto"/>
        </w:rPr>
      </w:pPr>
      <w:r>
        <w:rPr>
          <w:rFonts w:ascii="Roboto" w:hAnsi="Roboto"/>
        </w:rPr>
        <w:t xml:space="preserve">The surrounding cytosol continues to act as a viscous, highly dissipative medium; thus, continuous hydrodynamic dampening and stochastic thermal leakage across the unanchored background matrix bases are explicitly anticipated and managed </w:t>
      </w:r>
      <w:r>
        <w:rPr>
          <w:rStyle w:val="HTMLCode"/>
          <w:b/>
          <w:bCs/>
          <w:sz w:val="21"/>
          <w:szCs w:val="21"/>
        </w:rPr>
        <w:t>[1.4, 5.1]</w:t>
      </w:r>
      <w:r>
        <w:rPr>
          <w:rFonts w:ascii="Roboto" w:hAnsi="Roboto"/>
        </w:rPr>
        <w:t xml:space="preserve">. The passive geometric filtering of this self-modulating, potential-well array serves </w:t>
      </w:r>
      <w:r>
        <w:rPr>
          <w:rFonts w:ascii="Roboto" w:hAnsi="Roboto"/>
        </w:rPr>
        <w:lastRenderedPageBreak/>
        <w:t>to drastically reduce the rate of plectonemic torque accumulation (</w:t>
      </w:r>
      <m:oMath>
        <m:r>
          <w:rPr>
            <w:rFonts w:ascii="Cambria Math" w:hAnsi="Cambria Math"/>
          </w:rPr>
          <m:t>τ</m:t>
        </m:r>
      </m:oMath>
      <w:r>
        <w:rPr>
          <w:rFonts w:ascii="Roboto" w:hAnsi="Roboto"/>
        </w:rPr>
        <w:t xml:space="preserve">) ahead of replication and transcription complexes </w:t>
      </w:r>
      <w:r>
        <w:rPr>
          <w:rStyle w:val="HTMLCode"/>
          <w:b/>
          <w:bCs/>
          <w:sz w:val="21"/>
          <w:szCs w:val="21"/>
        </w:rPr>
        <w:t>[1.4, 3.2]</w:t>
      </w:r>
      <w:r>
        <w:rPr>
          <w:rFonts w:ascii="Roboto" w:hAnsi="Roboto"/>
        </w:rPr>
        <w:t xml:space="preserve">. Any residual structural strain that passes through these shifting geometric filters is actively resolved via the resting-state homeostatic overdrive kinetics of ATP-dependent topoisomerases </w:t>
      </w:r>
      <w:r>
        <w:rPr>
          <w:rStyle w:val="HTMLCode"/>
          <w:b/>
          <w:bCs/>
          <w:sz w:val="21"/>
          <w:szCs w:val="21"/>
        </w:rPr>
        <w:t>[1.2, 3.2]</w:t>
      </w:r>
      <w:r>
        <w:rPr>
          <w:rFonts w:ascii="Roboto" w:hAnsi="Roboto"/>
        </w:rPr>
        <w:t>.</w:t>
      </w:r>
    </w:p>
    <w:p w14:paraId="142FAFCE" w14:textId="77777777" w:rsidR="00D123A6" w:rsidRDefault="00D123A6" w:rsidP="00D123A6">
      <w:pPr>
        <w:rPr>
          <w:rFonts w:ascii="Roboto" w:hAnsi="Roboto"/>
        </w:rPr>
      </w:pPr>
    </w:p>
    <w:p w14:paraId="6D36E31D" w14:textId="28D2A4DB" w:rsidR="00D123A6" w:rsidRPr="00F3010E" w:rsidRDefault="00D123A6" w:rsidP="00743311">
      <w:pPr>
        <w:rPr>
          <w:rFonts w:ascii="Roboto" w:hAnsi="Roboto"/>
        </w:rPr>
      </w:pPr>
      <w:r>
        <w:rPr>
          <w:rFonts w:ascii="Roboto" w:hAnsi="Roboto"/>
        </w:rPr>
        <w:t xml:space="preserve">The system is therefore a dual-layered mechanical-enzymatic defense pipeline: the passive number-theoretic geometry acts as </w:t>
      </w:r>
      <w:r w:rsidRPr="00F3010E">
        <w:rPr>
          <w:rFonts w:ascii="Roboto" w:hAnsi="Roboto"/>
          <w:b/>
          <w:bCs/>
        </w:rPr>
        <w:t>a dynamically adaptive kinetic impedance filter</w:t>
      </w:r>
      <w:r>
        <w:rPr>
          <w:rFonts w:ascii="Roboto" w:hAnsi="Roboto"/>
        </w:rPr>
        <w:t xml:space="preserve"> to minimize the entropic load across variable thermal domains, while basal cellular metabolic energy charge (</w:t>
      </w:r>
      <m:oMath>
        <m:r>
          <w:rPr>
            <w:rFonts w:ascii="Cambria Math" w:hAnsi="Cambria Math"/>
          </w:rPr>
          <m:t>AEC≥0.82±0.03</m:t>
        </m:r>
      </m:oMath>
      <w:r>
        <w:rPr>
          <w:rFonts w:ascii="Roboto" w:hAnsi="Roboto"/>
        </w:rPr>
        <w:t xml:space="preserve">) actively dissipates the remaining kinetic strain, maintaining global steady-state structural integrity without exceeding the cell's metabolic energy budget </w:t>
      </w:r>
      <w:r>
        <w:rPr>
          <w:rStyle w:val="HTMLCode"/>
          <w:b/>
          <w:bCs/>
          <w:sz w:val="21"/>
          <w:szCs w:val="21"/>
        </w:rPr>
        <w:t>[1.2, 3.2, 9.5]</w:t>
      </w:r>
      <w:r>
        <w:rPr>
          <w:rFonts w:ascii="Roboto" w:hAnsi="Roboto"/>
        </w:rPr>
        <w:t>."</w:t>
      </w:r>
    </w:p>
    <w:p w14:paraId="28F51630" w14:textId="77777777" w:rsidR="00F55CFC" w:rsidRDefault="00F55CFC" w:rsidP="006466F7">
      <w:pPr>
        <w:rPr>
          <w:rFonts w:ascii="Roboto" w:hAnsi="Roboto"/>
          <w:b/>
          <w:bCs/>
          <w:sz w:val="30"/>
          <w:szCs w:val="30"/>
        </w:rPr>
      </w:pPr>
    </w:p>
    <w:p w14:paraId="43352427" w14:textId="77777777" w:rsidR="00D0584B" w:rsidRPr="002F6F85" w:rsidRDefault="00D0584B" w:rsidP="00D0584B">
      <w:pPr>
        <w:rPr>
          <w:rFonts w:ascii="Roboto" w:hAnsi="Roboto"/>
          <w:b/>
          <w:bCs/>
          <w:sz w:val="30"/>
          <w:szCs w:val="30"/>
        </w:rPr>
      </w:pPr>
      <w:r w:rsidRPr="002F6F85">
        <w:rPr>
          <w:rFonts w:ascii="Roboto" w:hAnsi="Roboto"/>
          <w:b/>
          <w:bCs/>
          <w:sz w:val="30"/>
          <w:szCs w:val="30"/>
        </w:rPr>
        <w:t>II. THE COHERENCE CRITIQUE: RESOLVING THE THERMAL DECOHERENCE PARADOX IN PHYSIOLOGICAL SOLVENTS</w:t>
      </w:r>
    </w:p>
    <w:p w14:paraId="211EC495" w14:textId="77777777" w:rsidR="00D0584B" w:rsidRDefault="00D0584B" w:rsidP="00D0584B">
      <w:pPr>
        <w:rPr>
          <w:rStyle w:val="Strong"/>
          <w:rFonts w:ascii="Roboto" w:hAnsi="Roboto"/>
        </w:rPr>
      </w:pPr>
    </w:p>
    <w:p w14:paraId="2E21A283" w14:textId="77777777" w:rsidR="00F3010E" w:rsidRDefault="00D0584B" w:rsidP="00D0584B">
      <w:pPr>
        <w:rPr>
          <w:rFonts w:ascii="Roboto" w:hAnsi="Roboto"/>
        </w:rPr>
      </w:pPr>
      <w:r>
        <w:rPr>
          <w:rStyle w:val="Strong"/>
          <w:rFonts w:ascii="Roboto" w:hAnsi="Roboto"/>
        </w:rPr>
        <w:t>2.1 The Institutional Objection</w:t>
      </w:r>
      <w:r>
        <w:rPr>
          <w:rFonts w:ascii="Roboto" w:hAnsi="Roboto"/>
        </w:rPr>
        <w:br/>
      </w:r>
    </w:p>
    <w:p w14:paraId="68B8C2EF" w14:textId="340B3CA0" w:rsidR="00D0584B" w:rsidRDefault="00D0584B" w:rsidP="00D0584B">
      <w:pPr>
        <w:rPr>
          <w:rFonts w:ascii="Roboto" w:hAnsi="Roboto"/>
        </w:rPr>
      </w:pPr>
      <w:r>
        <w:rPr>
          <w:rFonts w:ascii="Roboto" w:hAnsi="Roboto"/>
        </w:rPr>
        <w:t>A standard critique from corporate reviewers and molecular biophysicists is the "Biological Decoherence Problem." The consensus argument states that a living cell's cytosol is a violent, turbulent sea of molecular bombardment operating at physiological temperatures (310 K–315.15 K). Under standard quantum mechanically closed paradigms, any delicate wave state or localized quantum many-body scar (QMBS) must succumb to environmental decoherence and dissolve into an ergodic thermal baseline within fractions of a femtosecond (</w:t>
      </w:r>
      <m:oMath>
        <m:r>
          <w:rPr>
            <w:rFonts w:ascii="Cambria Math" w:hAnsi="Cambria Math"/>
          </w:rPr>
          <m:t>&lt;</m:t>
        </m:r>
        <m:sSup>
          <m:sSupPr>
            <m:ctrlPr>
              <w:rPr>
                <w:rFonts w:ascii="Cambria Math" w:hAnsi="Cambria Math"/>
              </w:rPr>
            </m:ctrlPr>
          </m:sSupPr>
          <m:e>
            <m:r>
              <w:rPr>
                <w:rFonts w:ascii="Cambria Math" w:hAnsi="Cambria Math"/>
              </w:rPr>
              <m:t>10</m:t>
            </m:r>
          </m:e>
          <m:sup>
            <m:r>
              <w:rPr>
                <w:rFonts w:ascii="Cambria Math" w:hAnsi="Cambria Math"/>
              </w:rPr>
              <m:t>-15</m:t>
            </m:r>
          </m:sup>
        </m:sSup>
      </m:oMath>
      <w:r>
        <w:rPr>
          <w:rFonts w:ascii="Roboto" w:hAnsi="Roboto"/>
        </w:rPr>
        <w:t xml:space="preserve"> s). Therefore, critics assert that scaling quantum mechanical localization behaviors to macroscopic synthetic chromosomes is physically unviable.</w:t>
      </w:r>
    </w:p>
    <w:p w14:paraId="20E856C5" w14:textId="77777777" w:rsidR="00D0584B" w:rsidRDefault="00D0584B" w:rsidP="00D0584B">
      <w:pPr>
        <w:rPr>
          <w:rStyle w:val="Strong"/>
          <w:rFonts w:ascii="Roboto" w:hAnsi="Roboto"/>
        </w:rPr>
      </w:pPr>
    </w:p>
    <w:p w14:paraId="771846FB" w14:textId="77777777" w:rsidR="00D0584B" w:rsidRDefault="00D0584B" w:rsidP="00D0584B">
      <w:pPr>
        <w:rPr>
          <w:rFonts w:ascii="Roboto" w:hAnsi="Roboto"/>
        </w:rPr>
      </w:pPr>
      <w:r>
        <w:rPr>
          <w:rStyle w:val="Strong"/>
          <w:rFonts w:ascii="Roboto" w:hAnsi="Roboto"/>
        </w:rPr>
        <w:t>2.2 Semiclassical Countermeasure &amp; Rebuttal</w:t>
      </w:r>
      <w:r>
        <w:rPr>
          <w:rFonts w:ascii="Roboto" w:hAnsi="Roboto"/>
        </w:rPr>
        <w:br/>
      </w:r>
    </w:p>
    <w:p w14:paraId="131B31B4" w14:textId="2E0E567A" w:rsidR="00D0584B" w:rsidRDefault="00D0584B" w:rsidP="00D0584B">
      <w:pPr>
        <w:rPr>
          <w:rFonts w:ascii="Roboto" w:hAnsi="Roboto"/>
        </w:rPr>
      </w:pPr>
      <w:r>
        <w:rPr>
          <w:rFonts w:ascii="Roboto" w:hAnsi="Roboto"/>
        </w:rPr>
        <w:t xml:space="preserve">This objection stems from a fundamental misinterpretation of the operating regime defined in the Master Specification. The mechanism does not rely on the preservation of fragile, phase-coherent quantum states at room temperature. Rather, it utilizes a </w:t>
      </w:r>
      <w:r>
        <w:rPr>
          <w:rStyle w:val="Strong"/>
          <w:rFonts w:ascii="Roboto" w:hAnsi="Roboto"/>
        </w:rPr>
        <w:t>Semiclassical, Non-Linear Structural Mode-Locking Effect</w:t>
      </w:r>
      <w:r>
        <w:rPr>
          <w:rFonts w:ascii="Roboto" w:hAnsi="Roboto"/>
        </w:rPr>
        <w:t xml:space="preserve"> [1.4, 5.1].</w:t>
      </w:r>
    </w:p>
    <w:p w14:paraId="262256CE" w14:textId="77777777" w:rsidR="00D0584B" w:rsidRDefault="00D0584B" w:rsidP="00D0584B">
      <w:pPr>
        <w:rPr>
          <w:rFonts w:ascii="Roboto" w:hAnsi="Roboto"/>
        </w:rPr>
      </w:pPr>
    </w:p>
    <w:p w14:paraId="154E88EE" w14:textId="79680204" w:rsidR="00D0584B" w:rsidRDefault="00D0584B" w:rsidP="00D0584B">
      <w:pPr>
        <w:rPr>
          <w:rFonts w:ascii="Roboto" w:hAnsi="Roboto"/>
        </w:rPr>
      </w:pPr>
      <w:r>
        <w:rPr>
          <w:rFonts w:ascii="Roboto" w:hAnsi="Roboto"/>
        </w:rPr>
        <w:t xml:space="preserve">The alternation of high-binding-energy Guanine-Cytosine (G-C) pinning blocks against randomized, low-energy background matrix intervals establishes a discrete mass-stiffness discontinuity lattice across the phosphodiester backbone. In condensed matter physics and non-linear polymer dynamics, when broadband environmental noise </w:t>
      </w:r>
      <w:r>
        <w:rPr>
          <w:rFonts w:ascii="Roboto" w:hAnsi="Roboto"/>
        </w:rPr>
        <w:lastRenderedPageBreak/>
        <w:t xml:space="preserve">bombards a non-uniform chain, the kinetic energy does not distribute evenly [1.2, 5.3]. Instead, non-linear lattice constraints force this incoming stress to self-organize into stable, localized, moving wave packets known as </w:t>
      </w:r>
      <w:r>
        <w:rPr>
          <w:rStyle w:val="Strong"/>
          <w:rFonts w:ascii="Roboto" w:hAnsi="Roboto"/>
        </w:rPr>
        <w:t>Topological Solitons or Discrete Breathers</w:t>
      </w:r>
      <w:r>
        <w:rPr>
          <w:rFonts w:ascii="Roboto" w:hAnsi="Roboto"/>
        </w:rPr>
        <w:t xml:space="preserve"> [1.2, 5.3].</w:t>
      </w:r>
    </w:p>
    <w:p w14:paraId="6873830E" w14:textId="77777777" w:rsidR="00D0584B" w:rsidRDefault="00D0584B" w:rsidP="00D0584B">
      <w:pPr>
        <w:rPr>
          <w:rFonts w:ascii="Roboto" w:hAnsi="Roboto"/>
        </w:rPr>
      </w:pPr>
    </w:p>
    <w:p w14:paraId="00E7D154" w14:textId="0E68E05A" w:rsidR="00D0584B" w:rsidRDefault="00D0584B" w:rsidP="00D0584B">
      <w:pPr>
        <w:rPr>
          <w:rFonts w:ascii="Roboto" w:hAnsi="Roboto"/>
        </w:rPr>
      </w:pPr>
      <w:r>
        <w:rPr>
          <w:rFonts w:ascii="Roboto" w:hAnsi="Roboto"/>
        </w:rPr>
        <w:t xml:space="preserve">By mapping the spatial boundaries of these mass discontinuities to match the rigid, un-clustered distribution of the Riemann Zeta zeros via the M₄ operator, the chromosome organizes an optimized </w:t>
      </w:r>
      <w:r>
        <w:rPr>
          <w:rStyle w:val="Strong"/>
          <w:rFonts w:ascii="Roboto" w:hAnsi="Roboto"/>
        </w:rPr>
        <w:t>non-linear scattering matrix</w:t>
      </w:r>
      <w:r>
        <w:rPr>
          <w:rFonts w:ascii="Roboto" w:hAnsi="Roboto"/>
        </w:rPr>
        <w:t xml:space="preserve"> [1.4, 5.3]. Rather than allowing thermal energy to couple into internal conformational strain modes, the incommensurate (mutually prime) spacing induces </w:t>
      </w:r>
      <w:r>
        <w:rPr>
          <w:rStyle w:val="Strong"/>
          <w:rFonts w:ascii="Roboto" w:hAnsi="Roboto"/>
        </w:rPr>
        <w:t>energy localization and acoustic pin-trapping</w:t>
      </w:r>
      <w:r>
        <w:rPr>
          <w:rFonts w:ascii="Roboto" w:hAnsi="Roboto"/>
        </w:rPr>
        <w:t xml:space="preserve"> [1.4, 5.1]. The moving Discrete Breathers are back-scattered or trapped within non-essential potential wells, preventing them from thermalizing the core functional regions of the synthetic genome. The framework relies on classical wave mechanics driven by structural geometry, which remains entirely robust against fluid solvent bombardment [1.4, 5.3].</w:t>
      </w:r>
    </w:p>
    <w:p w14:paraId="2B072990" w14:textId="4500A66B" w:rsidR="002F6F85" w:rsidRPr="002F6F85" w:rsidRDefault="000F65E2" w:rsidP="002F6F85">
      <w:pPr>
        <w:spacing w:before="480" w:after="480"/>
        <w:rPr>
          <w:rFonts w:ascii="Roboto" w:hAnsi="Roboto"/>
          <w:sz w:val="21"/>
          <w:szCs w:val="21"/>
        </w:rPr>
      </w:pPr>
      <w:r w:rsidRPr="000F65E2">
        <w:rPr>
          <w:noProof/>
          <w14:ligatures w14:val="standardContextual"/>
        </w:rPr>
        <w:pict w14:anchorId="4FAEAA73">
          <v:rect id="_x0000_i1028" alt="" style="width:468pt;height:.05pt;mso-width-percent:0;mso-height-percent:0;mso-width-percent:0;mso-height-percent:0" o:hralign="center" o:hrstd="t" o:hr="t" fillcolor="#a0a0a0" stroked="f"/>
        </w:pict>
      </w:r>
    </w:p>
    <w:p w14:paraId="43ABC349" w14:textId="77777777" w:rsidR="002F6F85" w:rsidRPr="002F6F85" w:rsidRDefault="002F6F85" w:rsidP="002F6F85">
      <w:pPr>
        <w:rPr>
          <w:rFonts w:ascii="Roboto" w:hAnsi="Roboto"/>
          <w:b/>
          <w:bCs/>
          <w:sz w:val="30"/>
          <w:szCs w:val="30"/>
        </w:rPr>
      </w:pPr>
      <w:r w:rsidRPr="002F6F85">
        <w:rPr>
          <w:rFonts w:ascii="Roboto" w:hAnsi="Roboto"/>
          <w:b/>
          <w:bCs/>
          <w:sz w:val="30"/>
          <w:szCs w:val="30"/>
        </w:rPr>
        <w:t>III. THE THERMODYNAMIC BOUNDARY: REFRAMING THE STRUCTURAL RESPONSE AS AN ENERGY ROUTING ENGINE</w:t>
      </w:r>
    </w:p>
    <w:p w14:paraId="2F6F9EAA" w14:textId="77777777" w:rsidR="002F6F85" w:rsidRDefault="002F6F85" w:rsidP="002F6F85">
      <w:pPr>
        <w:rPr>
          <w:rFonts w:ascii="Roboto" w:hAnsi="Roboto"/>
          <w:b/>
          <w:bCs/>
        </w:rPr>
      </w:pPr>
    </w:p>
    <w:p w14:paraId="68269CBF" w14:textId="77777777" w:rsidR="002F6F85" w:rsidRDefault="002F6F85" w:rsidP="002F6F85">
      <w:pPr>
        <w:rPr>
          <w:rFonts w:ascii="Roboto" w:hAnsi="Roboto"/>
          <w:b/>
          <w:bCs/>
        </w:rPr>
      </w:pPr>
      <w:r>
        <w:rPr>
          <w:rFonts w:ascii="Roboto" w:hAnsi="Roboto"/>
          <w:b/>
          <w:bCs/>
        </w:rPr>
        <w:t>3.1 The Institutional Objection</w:t>
      </w:r>
    </w:p>
    <w:p w14:paraId="2C58460C" w14:textId="77777777" w:rsidR="002F6F85" w:rsidRDefault="002F6F85" w:rsidP="002F6F85">
      <w:pPr>
        <w:rPr>
          <w:rFonts w:ascii="Roboto" w:hAnsi="Roboto"/>
        </w:rPr>
      </w:pPr>
    </w:p>
    <w:p w14:paraId="5183FB19" w14:textId="77777777" w:rsidR="002F6F85" w:rsidRDefault="002F6F85" w:rsidP="002F6F85">
      <w:pPr>
        <w:rPr>
          <w:rFonts w:ascii="Roboto" w:hAnsi="Roboto"/>
        </w:rPr>
      </w:pPr>
      <w:r>
        <w:rPr>
          <w:rFonts w:ascii="Roboto" w:hAnsi="Roboto"/>
        </w:rPr>
        <w:t>Reviewers evaluating the framework through classical equilibrium thermodynamics frequently point to early specification claims defining local structural stabilization under hyper-thermal step-strain. Critics argue that any mechanism minimizing regional conformational fluctuations under high-temperature stress implies a passive, self-cooling molecular system. They assert that this describes a localized reduction in thermal equilibrium baselines relative to the ambient fluid environment, representing a literal violation of the Second Law of Thermodynamics (a microscopic perpetual motion machine) that must be rejected out of hand.</w:t>
      </w:r>
    </w:p>
    <w:p w14:paraId="4F44C586" w14:textId="77777777" w:rsidR="002F6F85" w:rsidRDefault="002F6F85" w:rsidP="002F6F85">
      <w:pPr>
        <w:rPr>
          <w:rFonts w:ascii="Roboto" w:hAnsi="Roboto"/>
          <w:b/>
          <w:bCs/>
        </w:rPr>
      </w:pPr>
    </w:p>
    <w:p w14:paraId="1C5A7E8C" w14:textId="77777777" w:rsidR="002F6F85" w:rsidRDefault="002F6F85" w:rsidP="002F6F85">
      <w:pPr>
        <w:rPr>
          <w:rFonts w:ascii="Roboto" w:hAnsi="Roboto"/>
          <w:b/>
          <w:bCs/>
        </w:rPr>
      </w:pPr>
      <w:r>
        <w:rPr>
          <w:rFonts w:ascii="Roboto" w:hAnsi="Roboto"/>
          <w:b/>
          <w:bCs/>
        </w:rPr>
        <w:t>3.2 Semiclassical Countermeasure &amp; Rebuttal</w:t>
      </w:r>
    </w:p>
    <w:p w14:paraId="56FE4959" w14:textId="77777777" w:rsidR="002F6F85" w:rsidRDefault="002F6F85" w:rsidP="002F6F85">
      <w:pPr>
        <w:rPr>
          <w:rFonts w:ascii="Roboto" w:hAnsi="Roboto"/>
        </w:rPr>
      </w:pPr>
    </w:p>
    <w:p w14:paraId="56B584AB" w14:textId="0479FD7D" w:rsidR="002F6F85" w:rsidRDefault="002F6F85" w:rsidP="002F6F85">
      <w:pPr>
        <w:rPr>
          <w:rFonts w:ascii="Roboto" w:hAnsi="Roboto"/>
        </w:rPr>
      </w:pPr>
      <w:r>
        <w:rPr>
          <w:rFonts w:ascii="Roboto" w:hAnsi="Roboto"/>
        </w:rPr>
        <w:t xml:space="preserve">This critique is a linguistic artifact of attempting to apply closed-system equilibrium thermodynamics to a strictly non-equilibrium, open statistical framework </w:t>
      </w:r>
      <w:r>
        <w:rPr>
          <w:rStyle w:val="HTMLCode"/>
          <w:b/>
          <w:bCs/>
          <w:sz w:val="21"/>
          <w:szCs w:val="21"/>
        </w:rPr>
        <w:t>[1.1, 1.2]</w:t>
      </w:r>
      <w:r>
        <w:rPr>
          <w:rFonts w:ascii="Roboto" w:hAnsi="Roboto"/>
        </w:rPr>
        <w:t xml:space="preserve">. The synthetic chromosome is explicitly modeled as an open system continuously coupled to an active metabolic environment </w:t>
      </w:r>
      <w:r>
        <w:rPr>
          <w:rStyle w:val="HTMLCode"/>
          <w:b/>
          <w:bCs/>
          <w:sz w:val="21"/>
          <w:szCs w:val="21"/>
        </w:rPr>
        <w:t>[1.2, 9.1]</w:t>
      </w:r>
      <w:r>
        <w:rPr>
          <w:rFonts w:ascii="Roboto" w:hAnsi="Roboto"/>
        </w:rPr>
        <w:t>.</w:t>
      </w:r>
    </w:p>
    <w:p w14:paraId="2B560E4F" w14:textId="77777777" w:rsidR="002F6F85" w:rsidRDefault="002F6F85" w:rsidP="002F6F85">
      <w:pPr>
        <w:rPr>
          <w:rFonts w:ascii="Roboto" w:hAnsi="Roboto"/>
        </w:rPr>
      </w:pPr>
    </w:p>
    <w:p w14:paraId="0CAF7CB9" w14:textId="521283C5" w:rsidR="002F6F85" w:rsidRDefault="002F6F85" w:rsidP="002F6F85">
      <w:pPr>
        <w:rPr>
          <w:rFonts w:ascii="Roboto" w:hAnsi="Roboto"/>
        </w:rPr>
      </w:pPr>
      <w:r>
        <w:rPr>
          <w:rFonts w:ascii="Roboto" w:hAnsi="Roboto"/>
        </w:rPr>
        <w:t xml:space="preserve">The mechanism does not destroy thermodynamic entropy, nor does it operate as an isolated refrigerating device. Instead, the prime-encoded kinetic potential wells function as a topological energy routing engine </w:t>
      </w:r>
      <w:r>
        <w:rPr>
          <w:rStyle w:val="HTMLCode"/>
          <w:b/>
          <w:bCs/>
          <w:sz w:val="21"/>
          <w:szCs w:val="21"/>
        </w:rPr>
        <w:t>[1.3, 6.1]</w:t>
      </w:r>
      <w:r>
        <w:rPr>
          <w:rFonts w:ascii="Roboto" w:hAnsi="Roboto"/>
        </w:rPr>
        <w:t xml:space="preserve">. When broadband environmental noise drives "chromatin breathing" modes, the non-divisible structural geometry </w:t>
      </w:r>
      <w:r>
        <w:rPr>
          <w:rFonts w:ascii="Roboto" w:hAnsi="Roboto"/>
        </w:rPr>
        <w:lastRenderedPageBreak/>
        <w:t xml:space="preserve">channels this kinetic bombardment along narrow, recurring periodic trajectories known as classical acoustic scars </w:t>
      </w:r>
      <w:r>
        <w:rPr>
          <w:rStyle w:val="HTMLCode"/>
          <w:b/>
          <w:bCs/>
          <w:sz w:val="21"/>
          <w:szCs w:val="21"/>
        </w:rPr>
        <w:t>[1.4, 5.1]</w:t>
      </w:r>
      <w:r>
        <w:rPr>
          <w:rFonts w:ascii="Roboto" w:hAnsi="Roboto"/>
        </w:rPr>
        <w:t>.</w:t>
      </w:r>
    </w:p>
    <w:p w14:paraId="5A6AE650" w14:textId="77777777" w:rsidR="002F6F85" w:rsidRDefault="002F6F85" w:rsidP="002F6F85">
      <w:pPr>
        <w:rPr>
          <w:rFonts w:ascii="Roboto" w:hAnsi="Roboto"/>
        </w:rPr>
      </w:pPr>
    </w:p>
    <w:p w14:paraId="3D355BF0" w14:textId="586AD576" w:rsidR="002F6F85" w:rsidRPr="002F6F85" w:rsidRDefault="002F6F85" w:rsidP="006466F7">
      <w:pPr>
        <w:rPr>
          <w:rFonts w:ascii="Roboto" w:hAnsi="Roboto"/>
        </w:rPr>
      </w:pPr>
      <w:r>
        <w:rPr>
          <w:rFonts w:ascii="Roboto" w:hAnsi="Roboto"/>
        </w:rPr>
        <w:t xml:space="preserve">Because the system is open, the localized minimization of conformational distance variance is balanced by the continuous activity of the host cell's baseline metabolic repair infrastructure—specifically the resting-state homeostatic overdrive kinetics of topoisomerases and ATP-dependent molecular motors </w:t>
      </w:r>
      <w:r>
        <w:rPr>
          <w:rStyle w:val="HTMLCode"/>
          <w:b/>
          <w:bCs/>
          <w:sz w:val="21"/>
          <w:szCs w:val="21"/>
        </w:rPr>
        <w:t>[1.2, 3.2]</w:t>
      </w:r>
      <w:r>
        <w:rPr>
          <w:rFonts w:ascii="Roboto" w:hAnsi="Roboto"/>
        </w:rPr>
        <w:t xml:space="preserve">. The sequence layout does not bypass thermodynamic laws; it utilizes non-ergodic structural boundaries to alter the system's internal partition function </w:t>
      </w:r>
      <w:r>
        <w:rPr>
          <w:rStyle w:val="HTMLCode"/>
          <w:b/>
          <w:bCs/>
          <w:sz w:val="21"/>
          <w:szCs w:val="21"/>
        </w:rPr>
        <w:t>[1.4, 6.1]</w:t>
      </w:r>
      <w:r>
        <w:rPr>
          <w:rFonts w:ascii="Roboto" w:hAnsi="Roboto"/>
        </w:rPr>
        <w:t>. This ensures that incoming kinetic stress is funneled, localized, and safely back-scattered to prevent the local superhelical torque (</w:t>
      </w:r>
      <m:oMath>
        <m:r>
          <w:rPr>
            <w:rFonts w:ascii="Cambria Math" w:hAnsi="Cambria Math"/>
          </w:rPr>
          <m:t>τ</m:t>
        </m:r>
      </m:oMath>
      <w:r>
        <w:rPr>
          <w:rFonts w:ascii="Roboto" w:hAnsi="Roboto"/>
        </w:rPr>
        <w:t>) from exceeding the critical buckling threshold (</w:t>
      </w:r>
      <m:oMath>
        <m:sSub>
          <m:sSubPr>
            <m:ctrlPr>
              <w:rPr>
                <w:rFonts w:ascii="Cambria Math" w:hAnsi="Cambria Math"/>
              </w:rPr>
            </m:ctrlPr>
          </m:sSubPr>
          <m:e>
            <m:r>
              <w:rPr>
                <w:rFonts w:ascii="Cambria Math" w:hAnsi="Cambria Math"/>
              </w:rPr>
              <m:t>τ</m:t>
            </m:r>
          </m:e>
          <m:sub>
            <m:r>
              <w:rPr>
                <w:rFonts w:ascii="Cambria Math" w:hAnsi="Cambria Math"/>
              </w:rPr>
              <m:t>c</m:t>
            </m:r>
          </m:sub>
        </m:sSub>
        <m:r>
          <w:rPr>
            <w:rFonts w:ascii="Cambria Math" w:hAnsi="Cambria Math"/>
          </w:rPr>
          <m:t>≈14.14</m:t>
        </m:r>
        <m:r>
          <m:rPr>
            <m:nor/>
          </m:rPr>
          <w:rPr>
            <w:rFonts w:ascii="Roboto" w:hAnsi="Roboto"/>
          </w:rPr>
          <m:t> pN</m:t>
        </m:r>
        <m:r>
          <w:rPr>
            <w:rFonts w:ascii="Cambria Math" w:hAnsi="Cambria Math"/>
          </w:rPr>
          <m:t>⋅</m:t>
        </m:r>
        <m:r>
          <m:rPr>
            <m:nor/>
          </m:rPr>
          <w:rPr>
            <w:rFonts w:ascii="Roboto" w:hAnsi="Roboto"/>
          </w:rPr>
          <m:t>nm</m:t>
        </m:r>
      </m:oMath>
      <w:r>
        <w:rPr>
          <w:rFonts w:ascii="Roboto" w:hAnsi="Roboto"/>
        </w:rPr>
        <w:t xml:space="preserve">) of the vital functional zones </w:t>
      </w:r>
      <w:r>
        <w:rPr>
          <w:rStyle w:val="HTMLCode"/>
          <w:b/>
          <w:bCs/>
          <w:sz w:val="21"/>
          <w:szCs w:val="21"/>
        </w:rPr>
        <w:t>[1.2, Appendix A.2]</w:t>
      </w:r>
      <w:r>
        <w:rPr>
          <w:rFonts w:ascii="Roboto" w:hAnsi="Roboto"/>
        </w:rPr>
        <w:t>.</w:t>
      </w:r>
    </w:p>
    <w:p w14:paraId="3DEC3EC3" w14:textId="77777777" w:rsidR="006466F7" w:rsidRPr="006466F7" w:rsidRDefault="000F65E2" w:rsidP="006466F7">
      <w:pPr>
        <w:spacing w:before="480" w:after="480"/>
        <w:rPr>
          <w:rFonts w:ascii="Roboto" w:hAnsi="Roboto"/>
          <w:sz w:val="21"/>
          <w:szCs w:val="21"/>
        </w:rPr>
      </w:pPr>
      <w:r w:rsidRPr="000F65E2">
        <w:rPr>
          <w:noProof/>
          <w14:ligatures w14:val="standardContextual"/>
        </w:rPr>
        <w:pict w14:anchorId="229BA89A">
          <v:rect id="_x0000_i1027" alt="" style="width:468pt;height:.05pt;mso-width-percent:0;mso-height-percent:0;mso-width-percent:0;mso-height-percent:0" o:hralign="center" o:hrstd="t" o:hr="t" fillcolor="#a0a0a0" stroked="f"/>
        </w:pict>
      </w:r>
    </w:p>
    <w:p w14:paraId="1109E311" w14:textId="77777777" w:rsidR="002F6F85" w:rsidRPr="002F6F85" w:rsidRDefault="002F6F85" w:rsidP="002F6F85">
      <w:pPr>
        <w:rPr>
          <w:rFonts w:ascii="Roboto" w:hAnsi="Roboto"/>
          <w:b/>
          <w:bCs/>
          <w:sz w:val="30"/>
          <w:szCs w:val="30"/>
        </w:rPr>
      </w:pPr>
      <w:r w:rsidRPr="002F6F85">
        <w:rPr>
          <w:rFonts w:ascii="Roboto" w:hAnsi="Roboto"/>
          <w:b/>
          <w:bCs/>
          <w:sz w:val="30"/>
          <w:szCs w:val="30"/>
        </w:rPr>
        <w:t>IV. THE COMPACTIFICATION CONSTRAINT: RESOLVING THE N-BODY PERMUTATION EXPLOSION</w:t>
      </w:r>
    </w:p>
    <w:p w14:paraId="1BDCE5AA" w14:textId="77777777" w:rsidR="002F6F85" w:rsidRDefault="002F6F85" w:rsidP="002F6F85">
      <w:pPr>
        <w:rPr>
          <w:rFonts w:ascii="Roboto" w:hAnsi="Roboto"/>
          <w:b/>
          <w:bCs/>
        </w:rPr>
      </w:pPr>
    </w:p>
    <w:p w14:paraId="4358B873" w14:textId="0D233CB7" w:rsidR="002F6F85" w:rsidRDefault="002F6F85" w:rsidP="002F6F85">
      <w:pPr>
        <w:rPr>
          <w:rFonts w:ascii="Roboto" w:hAnsi="Roboto"/>
          <w:b/>
          <w:bCs/>
        </w:rPr>
      </w:pPr>
      <w:r>
        <w:rPr>
          <w:rFonts w:ascii="Roboto" w:hAnsi="Roboto"/>
          <w:b/>
          <w:bCs/>
        </w:rPr>
        <w:t>4.1 The Institutional Objection</w:t>
      </w:r>
    </w:p>
    <w:p w14:paraId="762DF26B" w14:textId="77777777" w:rsidR="002F6F85" w:rsidRDefault="002F6F85" w:rsidP="002F6F85">
      <w:pPr>
        <w:rPr>
          <w:rFonts w:ascii="Roboto" w:hAnsi="Roboto"/>
        </w:rPr>
      </w:pPr>
    </w:p>
    <w:p w14:paraId="3DA8F33D" w14:textId="5643CFEF" w:rsidR="002F6F85" w:rsidRDefault="002F6F85" w:rsidP="002F6F85">
      <w:pPr>
        <w:rPr>
          <w:rFonts w:ascii="Roboto" w:hAnsi="Roboto"/>
        </w:rPr>
      </w:pPr>
      <w:r>
        <w:rPr>
          <w:rFonts w:ascii="Roboto" w:hAnsi="Roboto"/>
        </w:rPr>
        <w:t xml:space="preserve">From a computational and structural standpoint, institutional sponsors raise the "Ergodicity and Permutation Explosion Problem." The spatial folding and packing of an extended multi-megabase macromolecular lattice into a sub-micron cellular nucleoid introduce an unconstrained N-body configuration wall. Because the possible spatial states scale factorially, establishing an asymptotic permutation explosion bound of </w:t>
      </w:r>
      <m:oMath>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N</m:t>
                </m:r>
              </m:sup>
            </m:sSup>
          </m:e>
        </m:d>
      </m:oMath>
      <w:r>
        <w:rPr>
          <w:rFonts w:ascii="Roboto" w:hAnsi="Roboto"/>
        </w:rPr>
        <w:t xml:space="preserve">, a classical unconstrained polymer would require a timescale exceeding the age of the universe to randomly sample these permutations and discover its global minimal-energy conformation. Critics argue that an artificially engineered sequence layout will inevitably become kinetically trapped in non-functional local minima during chemical assembly or </w:t>
      </w:r>
      <w:r>
        <w:rPr>
          <w:rStyle w:val="Emphasis"/>
          <w:rFonts w:ascii="Roboto" w:hAnsi="Roboto"/>
        </w:rPr>
        <w:t>in vivo</w:t>
      </w:r>
      <w:r>
        <w:rPr>
          <w:rFonts w:ascii="Roboto" w:hAnsi="Roboto"/>
        </w:rPr>
        <w:t xml:space="preserve"> replication.</w:t>
      </w:r>
    </w:p>
    <w:p w14:paraId="06F9D9BA" w14:textId="77777777" w:rsidR="002F6F85" w:rsidRDefault="002F6F85" w:rsidP="002F6F85">
      <w:pPr>
        <w:rPr>
          <w:rFonts w:ascii="Roboto" w:hAnsi="Roboto"/>
          <w:b/>
          <w:bCs/>
        </w:rPr>
      </w:pPr>
    </w:p>
    <w:p w14:paraId="15882E60" w14:textId="5BB9EE5A" w:rsidR="002F6F85" w:rsidRDefault="002F6F85" w:rsidP="002F6F85">
      <w:pPr>
        <w:rPr>
          <w:rFonts w:ascii="Roboto" w:hAnsi="Roboto"/>
          <w:b/>
          <w:bCs/>
        </w:rPr>
      </w:pPr>
      <w:r>
        <w:rPr>
          <w:rFonts w:ascii="Roboto" w:hAnsi="Roboto"/>
          <w:b/>
          <w:bCs/>
        </w:rPr>
        <w:t>4.2 Semiclassical Countermeasure &amp; Rebuttal</w:t>
      </w:r>
    </w:p>
    <w:p w14:paraId="516044CA" w14:textId="77777777" w:rsidR="002F6F85" w:rsidRDefault="002F6F85" w:rsidP="002F6F85">
      <w:pPr>
        <w:rPr>
          <w:rFonts w:ascii="Roboto" w:hAnsi="Roboto"/>
        </w:rPr>
      </w:pPr>
    </w:p>
    <w:p w14:paraId="2467C9BB" w14:textId="5587AF63" w:rsidR="002F6F85" w:rsidRDefault="002F6F85" w:rsidP="002F6F85">
      <w:pPr>
        <w:rPr>
          <w:rFonts w:ascii="Roboto" w:hAnsi="Roboto"/>
        </w:rPr>
      </w:pPr>
      <w:r>
        <w:rPr>
          <w:rFonts w:ascii="Roboto" w:hAnsi="Roboto"/>
        </w:rPr>
        <w:t xml:space="preserve">Our architecture resolves this computational configuration wall through Assembly Path Invariance and Topological Funneling </w:t>
      </w:r>
      <w:r>
        <w:rPr>
          <w:rStyle w:val="HTMLCode"/>
          <w:b/>
          <w:bCs/>
          <w:sz w:val="21"/>
          <w:szCs w:val="21"/>
        </w:rPr>
        <w:t>[6.1, 7.2]</w:t>
      </w:r>
      <w:r>
        <w:rPr>
          <w:rFonts w:ascii="Roboto" w:hAnsi="Roboto"/>
        </w:rPr>
        <w:t xml:space="preserve">. In standard, uncorrelated genomic </w:t>
      </w:r>
      <w:r>
        <w:rPr>
          <w:rFonts w:ascii="Roboto" w:hAnsi="Roboto"/>
        </w:rPr>
        <w:lastRenderedPageBreak/>
        <w:t>sequences, boundary pinning is highly variable, leading to degenerate low-energy fluctuations and structural knots.</w:t>
      </w:r>
    </w:p>
    <w:p w14:paraId="13B87CA8" w14:textId="77777777" w:rsidR="002F6F85" w:rsidRDefault="002F6F85" w:rsidP="002F6F85">
      <w:pPr>
        <w:rPr>
          <w:rFonts w:ascii="Roboto" w:hAnsi="Roboto"/>
        </w:rPr>
      </w:pPr>
    </w:p>
    <w:p w14:paraId="3CB2CEE5" w14:textId="753BD71D" w:rsidR="002F6F85" w:rsidRDefault="002F6F85" w:rsidP="002F6F85">
      <w:pPr>
        <w:rPr>
          <w:rFonts w:ascii="Roboto" w:hAnsi="Roboto"/>
        </w:rPr>
      </w:pPr>
      <w:r>
        <w:rPr>
          <w:rFonts w:ascii="Roboto" w:hAnsi="Roboto"/>
        </w:rPr>
        <w:t xml:space="preserve">However, by positioning high-binding-energy G-C segments according to the logarithmic actions of the primes, the global free-energy landscape of the polymer is fundamentally rewritten </w:t>
      </w:r>
      <w:r>
        <w:rPr>
          <w:rStyle w:val="HTMLCode"/>
          <w:b/>
          <w:bCs/>
          <w:sz w:val="21"/>
          <w:szCs w:val="21"/>
        </w:rPr>
        <w:t>[4.2, 8.2]</w:t>
      </w:r>
      <w:r>
        <w:rPr>
          <w:rFonts w:ascii="Roboto" w:hAnsi="Roboto"/>
        </w:rPr>
        <w:t xml:space="preserve">. The prime-encoded coordinates function as deep, non-degenerate potential wells that dominate the partition function matrix (Z) </w:t>
      </w:r>
      <w:r>
        <w:rPr>
          <w:rStyle w:val="HTMLCode"/>
          <w:b/>
          <w:bCs/>
          <w:sz w:val="21"/>
          <w:szCs w:val="21"/>
        </w:rPr>
        <w:t>[6.1]</w:t>
      </w:r>
      <w:r>
        <w:rPr>
          <w:rFonts w:ascii="Roboto" w:hAnsi="Roboto"/>
        </w:rPr>
        <w:t xml:space="preserve">. These wells act as an unyielding, protective lattice that dynamically constrains the plectonemic twist-writhe partition via destructive spectral interference, satisfying the Călugăreanu–White–Fuller theorem (Lk = Tw + Wr) </w:t>
      </w:r>
      <w:r>
        <w:rPr>
          <w:rStyle w:val="HTMLCode"/>
          <w:b/>
          <w:bCs/>
          <w:sz w:val="21"/>
          <w:szCs w:val="21"/>
        </w:rPr>
        <w:t>[1.2, 7.2]</w:t>
      </w:r>
      <w:r>
        <w:rPr>
          <w:rFonts w:ascii="Roboto" w:hAnsi="Roboto"/>
        </w:rPr>
        <w:t>.</w:t>
      </w:r>
    </w:p>
    <w:p w14:paraId="53971632" w14:textId="77777777" w:rsidR="002F6F85" w:rsidRDefault="002F6F85" w:rsidP="002F6F85">
      <w:pPr>
        <w:rPr>
          <w:rFonts w:ascii="Roboto" w:hAnsi="Roboto"/>
        </w:rPr>
      </w:pPr>
    </w:p>
    <w:p w14:paraId="32B7F75E" w14:textId="3A225EAE" w:rsidR="002F6F85" w:rsidRDefault="002F6F85" w:rsidP="002F6F85">
      <w:pPr>
        <w:rPr>
          <w:rFonts w:ascii="Roboto" w:hAnsi="Roboto"/>
        </w:rPr>
      </w:pPr>
      <w:r>
        <w:rPr>
          <w:rFonts w:ascii="Roboto" w:hAnsi="Roboto"/>
        </w:rPr>
        <w:t xml:space="preserve">Uniquely, to escape shallow kinetic barriers, the laboratory workflow incorporates a controlled post-assembly thermal annealing protocol (a linear cooling ramp from 95°C down to 20°C stabilized under a 12.5 mM Mg²⁺ chloride buffer) </w:t>
      </w:r>
      <w:r>
        <w:rPr>
          <w:rStyle w:val="HTMLCode"/>
          <w:b/>
          <w:bCs/>
          <w:sz w:val="21"/>
          <w:szCs w:val="21"/>
        </w:rPr>
        <w:t>[6.4, Claim 4]</w:t>
      </w:r>
      <w:r>
        <w:rPr>
          <w:rFonts w:ascii="Roboto" w:hAnsi="Roboto"/>
        </w:rPr>
        <w:t xml:space="preserve">. Consequently, whether the synthetic chromosome is assembled linearly from 5' to 3' or ligated in bulk hierarchical fragments, the thermodynamic folding funnel is deterministically biased toward a single, global Classical Acoustic Scar (CAS) equilibrium state </w:t>
      </w:r>
      <w:r>
        <w:rPr>
          <w:rStyle w:val="HTMLCode"/>
          <w:b/>
          <w:bCs/>
          <w:sz w:val="21"/>
          <w:szCs w:val="21"/>
        </w:rPr>
        <w:t>[7.2]</w:t>
      </w:r>
      <w:r>
        <w:rPr>
          <w:rFonts w:ascii="Roboto" w:hAnsi="Roboto"/>
        </w:rPr>
        <w:t xml:space="preserve">. The final physical distribution of mass, structural elasticity, and local tension erases the chronological history of how the molecule was built, ensuring absolute non-degeneracy and eliminating the risk of kinetic trapping </w:t>
      </w:r>
      <w:r>
        <w:rPr>
          <w:rStyle w:val="HTMLCode"/>
          <w:b/>
          <w:bCs/>
          <w:sz w:val="21"/>
          <w:szCs w:val="21"/>
        </w:rPr>
        <w:t>[6.2, 7.2]</w:t>
      </w:r>
      <w:r>
        <w:rPr>
          <w:rFonts w:ascii="Roboto" w:hAnsi="Roboto"/>
        </w:rPr>
        <w:t>.</w:t>
      </w:r>
    </w:p>
    <w:p w14:paraId="24907D0B" w14:textId="77777777" w:rsidR="006466F7" w:rsidRPr="006466F7" w:rsidRDefault="000F65E2" w:rsidP="006466F7">
      <w:pPr>
        <w:spacing w:before="480" w:after="480"/>
        <w:rPr>
          <w:rFonts w:ascii="Roboto" w:hAnsi="Roboto"/>
          <w:sz w:val="21"/>
          <w:szCs w:val="21"/>
        </w:rPr>
      </w:pPr>
      <w:r w:rsidRPr="000F65E2">
        <w:rPr>
          <w:noProof/>
          <w14:ligatures w14:val="standardContextual"/>
        </w:rPr>
        <w:pict w14:anchorId="39A9B367">
          <v:rect id="_x0000_i1026" alt="" style="width:468pt;height:.05pt;mso-width-percent:0;mso-height-percent:0;mso-width-percent:0;mso-height-percent:0" o:hralign="center" o:hrstd="t" o:hr="t" fillcolor="#a0a0a0" stroked="f"/>
        </w:pict>
      </w:r>
    </w:p>
    <w:p w14:paraId="7F31AB2B" w14:textId="77777777" w:rsidR="00814C5B" w:rsidRPr="00814C5B" w:rsidRDefault="00814C5B" w:rsidP="00814C5B">
      <w:pPr>
        <w:rPr>
          <w:rFonts w:ascii="Roboto" w:hAnsi="Roboto"/>
          <w:b/>
          <w:bCs/>
          <w:sz w:val="30"/>
          <w:szCs w:val="30"/>
        </w:rPr>
      </w:pPr>
      <w:r w:rsidRPr="00814C5B">
        <w:rPr>
          <w:rFonts w:ascii="Roboto" w:hAnsi="Roboto"/>
          <w:b/>
          <w:bCs/>
          <w:sz w:val="30"/>
          <w:szCs w:val="30"/>
        </w:rPr>
        <w:t>V. THE EMERGENCE HIERARCHY: COMPLEMENTING HIGHER ORGANIC RESTRUCTURING MATRICES</w:t>
      </w:r>
    </w:p>
    <w:p w14:paraId="7FEF6FF7" w14:textId="77777777" w:rsidR="00814C5B" w:rsidRDefault="00814C5B" w:rsidP="00814C5B">
      <w:pPr>
        <w:rPr>
          <w:rFonts w:ascii="Roboto" w:hAnsi="Roboto"/>
          <w:b/>
          <w:bCs/>
        </w:rPr>
      </w:pPr>
    </w:p>
    <w:p w14:paraId="2F808DE7" w14:textId="41FC1CF3" w:rsidR="00814C5B" w:rsidRDefault="00814C5B" w:rsidP="00814C5B">
      <w:pPr>
        <w:rPr>
          <w:rFonts w:ascii="Roboto" w:hAnsi="Roboto"/>
          <w:b/>
          <w:bCs/>
        </w:rPr>
      </w:pPr>
      <w:r>
        <w:rPr>
          <w:rFonts w:ascii="Roboto" w:hAnsi="Roboto"/>
          <w:b/>
          <w:bCs/>
        </w:rPr>
        <w:t>5.1 The Institutional Objection</w:t>
      </w:r>
    </w:p>
    <w:p w14:paraId="66B9DADD" w14:textId="77777777" w:rsidR="00814C5B" w:rsidRDefault="00814C5B" w:rsidP="00814C5B">
      <w:pPr>
        <w:rPr>
          <w:rFonts w:ascii="Roboto" w:hAnsi="Roboto"/>
        </w:rPr>
      </w:pPr>
    </w:p>
    <w:p w14:paraId="71D0A55D" w14:textId="65F442F7" w:rsidR="00814C5B" w:rsidRDefault="00814C5B" w:rsidP="00814C5B">
      <w:pPr>
        <w:rPr>
          <w:rFonts w:ascii="Roboto" w:hAnsi="Roboto"/>
        </w:rPr>
      </w:pPr>
      <w:r>
        <w:rPr>
          <w:rFonts w:ascii="Roboto" w:hAnsi="Roboto"/>
        </w:rPr>
        <w:t>Mainstream genomicists maintain that the architecture of living chromosomes is already fully accounted for by macroscopic biological mechanisms, including histone wrapping, loop extrusion by condensin complexes, codon optimization, and transcription factor kinetics. They assert that introducing a sub-nanometer arithmetic grid based on number theory is an unnecessary and unobserved complication that negates established biological models.</w:t>
      </w:r>
    </w:p>
    <w:p w14:paraId="6E6EE6A5" w14:textId="77777777" w:rsidR="00814C5B" w:rsidRDefault="00814C5B" w:rsidP="00814C5B">
      <w:pPr>
        <w:rPr>
          <w:rFonts w:ascii="Roboto" w:hAnsi="Roboto"/>
          <w:b/>
          <w:bCs/>
        </w:rPr>
      </w:pPr>
    </w:p>
    <w:p w14:paraId="6C64E7CE" w14:textId="1FA740D5" w:rsidR="00814C5B" w:rsidRDefault="00814C5B" w:rsidP="00814C5B">
      <w:pPr>
        <w:rPr>
          <w:rFonts w:ascii="Roboto" w:hAnsi="Roboto"/>
          <w:b/>
          <w:bCs/>
        </w:rPr>
      </w:pPr>
      <w:r>
        <w:rPr>
          <w:rFonts w:ascii="Roboto" w:hAnsi="Roboto"/>
          <w:b/>
          <w:bCs/>
        </w:rPr>
        <w:t>5.2 Semiclassical Countermeasure &amp; Rebuttal</w:t>
      </w:r>
    </w:p>
    <w:p w14:paraId="3E693A74" w14:textId="77777777" w:rsidR="00814C5B" w:rsidRDefault="00814C5B" w:rsidP="00814C5B">
      <w:pPr>
        <w:rPr>
          <w:rFonts w:ascii="Roboto" w:hAnsi="Roboto"/>
        </w:rPr>
      </w:pPr>
    </w:p>
    <w:p w14:paraId="761DAFCF" w14:textId="2F933BC8" w:rsidR="00814C5B" w:rsidRDefault="00814C5B" w:rsidP="00814C5B">
      <w:pPr>
        <w:rPr>
          <w:rFonts w:ascii="Roboto" w:hAnsi="Roboto"/>
        </w:rPr>
      </w:pPr>
      <w:r>
        <w:rPr>
          <w:rFonts w:ascii="Roboto" w:hAnsi="Roboto"/>
        </w:rPr>
        <w:t xml:space="preserve">This argument misconstrues the relationship between reductionist physics and emergent biology. The instantiation of a number-theoretic spectral grid does not negate higher organic levels of biology—it provides their underlying physical mechanism </w:t>
      </w:r>
      <w:r>
        <w:rPr>
          <w:rStyle w:val="HTMLCode"/>
          <w:b/>
          <w:bCs/>
          <w:sz w:val="21"/>
          <w:szCs w:val="21"/>
        </w:rPr>
        <w:t>[1.3, 9.1]</w:t>
      </w:r>
      <w:r>
        <w:rPr>
          <w:rFonts w:ascii="Roboto" w:hAnsi="Roboto"/>
        </w:rPr>
        <w:t xml:space="preserve">. Macro-level structural filters do not appear spontaneously; they are macroscopic expressions that require a rigid foundation at the sub-nanometer scale to exist. For an atom to absorb and shed energy without collapsing into chaotic decay, it relies on discrete quantum eigenstates. Similarly, for a massive polymer chain to host high-level </w:t>
      </w:r>
      <w:r>
        <w:rPr>
          <w:rFonts w:ascii="Roboto" w:hAnsi="Roboto"/>
        </w:rPr>
        <w:lastRenderedPageBreak/>
        <w:t xml:space="preserve">biological machinery like histones or polymerases, the underlying backbone must remain structurally intact and free from catastrophic superhelical buckling under out-of-equilibrium stress </w:t>
      </w:r>
      <w:r>
        <w:rPr>
          <w:rStyle w:val="HTMLCode"/>
          <w:b/>
          <w:bCs/>
          <w:sz w:val="21"/>
          <w:szCs w:val="21"/>
        </w:rPr>
        <w:t>[1.2, 3.2]</w:t>
      </w:r>
      <w:r>
        <w:rPr>
          <w:rFonts w:ascii="Roboto" w:hAnsi="Roboto"/>
        </w:rPr>
        <w:t>.</w:t>
      </w:r>
    </w:p>
    <w:p w14:paraId="55EDCBB2" w14:textId="77777777" w:rsidR="00814C5B" w:rsidRDefault="00814C5B" w:rsidP="00814C5B">
      <w:pPr>
        <w:rPr>
          <w:rFonts w:ascii="Roboto" w:hAnsi="Roboto"/>
        </w:rPr>
      </w:pPr>
    </w:p>
    <w:p w14:paraId="6BEEA0A4" w14:textId="030E4806" w:rsidR="00814C5B" w:rsidRDefault="00814C5B" w:rsidP="00814C5B">
      <w:pPr>
        <w:rPr>
          <w:rFonts w:ascii="Roboto" w:hAnsi="Roboto"/>
        </w:rPr>
      </w:pPr>
      <w:r>
        <w:rPr>
          <w:rFonts w:ascii="Roboto" w:hAnsi="Roboto"/>
        </w:rPr>
        <w:t xml:space="preserve">Prime number coordinates are uniquely suited to provide this structural floor because they are fundamentally non-divisible. Wave resonance and structural failure in materials require rational fractions and divisible steps to build up energy. By spacing the genome’s physical pinning blocks according to a prime-number distribution, the system completely destroys geometric symmetry </w:t>
      </w:r>
      <w:r>
        <w:rPr>
          <w:rStyle w:val="HTMLCode"/>
          <w:b/>
          <w:bCs/>
          <w:sz w:val="21"/>
          <w:szCs w:val="21"/>
        </w:rPr>
        <w:t>[4.2, 8.2]</w:t>
      </w:r>
      <w:r>
        <w:rPr>
          <w:rFonts w:ascii="Roboto" w:hAnsi="Roboto"/>
        </w:rPr>
        <w:t xml:space="preserve">. Traveling waves reflecting off these coordinates literally lack a common mathematical denominator; they cannot synchronize into dangerous resonances, causing localized thermal fluctuations to scatter and flatten </w:t>
      </w:r>
      <w:r>
        <w:rPr>
          <w:rStyle w:val="HTMLCode"/>
          <w:b/>
          <w:bCs/>
          <w:sz w:val="21"/>
          <w:szCs w:val="21"/>
        </w:rPr>
        <w:t>[1.4, 5.1]</w:t>
      </w:r>
      <w:r>
        <w:rPr>
          <w:rFonts w:ascii="Roboto" w:hAnsi="Roboto"/>
        </w:rPr>
        <w:t>.</w:t>
      </w:r>
    </w:p>
    <w:p w14:paraId="52AE2622" w14:textId="77777777" w:rsidR="00814C5B" w:rsidRDefault="00814C5B" w:rsidP="00814C5B">
      <w:pPr>
        <w:rPr>
          <w:rFonts w:ascii="Roboto" w:hAnsi="Roboto"/>
        </w:rPr>
      </w:pPr>
    </w:p>
    <w:p w14:paraId="3C95AAF0" w14:textId="1EAC4A61" w:rsidR="00814C5B" w:rsidRDefault="00814C5B" w:rsidP="00814C5B">
      <w:pPr>
        <w:rPr>
          <w:rFonts w:ascii="Roboto" w:hAnsi="Roboto"/>
        </w:rPr>
      </w:pPr>
      <w:r>
        <w:rPr>
          <w:rFonts w:ascii="Roboto" w:hAnsi="Roboto"/>
        </w:rPr>
        <w:t xml:space="preserve">This non-divisible arithmetic floor acts as the primary safety mechanism that preserves the open informational access required for higher-level organic features to operate. Far from disrupting genetic translation, this structural stabilization is validated </w:t>
      </w:r>
      <w:r>
        <w:rPr>
          <w:rStyle w:val="Emphasis"/>
          <w:rFonts w:ascii="Roboto" w:hAnsi="Roboto"/>
        </w:rPr>
        <w:t>in vivo</w:t>
      </w:r>
      <w:r>
        <w:rPr>
          <w:rFonts w:ascii="Roboto" w:hAnsi="Roboto"/>
        </w:rPr>
        <w:t xml:space="preserve"> by maintaining uniform replication fork density mappings via deep ChIP-seq profiling </w:t>
      </w:r>
      <w:r>
        <w:rPr>
          <w:rStyle w:val="HTMLCode"/>
          <w:b/>
          <w:bCs/>
          <w:sz w:val="21"/>
          <w:szCs w:val="21"/>
        </w:rPr>
        <w:t>[9.2]</w:t>
      </w:r>
      <w:r>
        <w:rPr>
          <w:rFonts w:ascii="Roboto" w:hAnsi="Roboto"/>
        </w:rPr>
        <w:t xml:space="preserve">, ensuring zero sequence drift across 500-generation long-read sequencing tracks </w:t>
      </w:r>
      <w:r>
        <w:rPr>
          <w:rStyle w:val="HTMLCode"/>
          <w:b/>
          <w:bCs/>
          <w:sz w:val="21"/>
          <w:szCs w:val="21"/>
        </w:rPr>
        <w:t>[9.3]</w:t>
      </w:r>
      <w:r>
        <w:rPr>
          <w:rFonts w:ascii="Roboto" w:hAnsi="Roboto"/>
        </w:rPr>
        <w:t xml:space="preserve">, and preserving unhindered nascent RNA transcription kinetics across all 473 genes </w:t>
      </w:r>
      <w:r>
        <w:rPr>
          <w:rStyle w:val="HTMLCode"/>
          <w:b/>
          <w:bCs/>
          <w:sz w:val="21"/>
          <w:szCs w:val="21"/>
        </w:rPr>
        <w:t>[9.4, 9.5]</w:t>
      </w:r>
      <w:r>
        <w:rPr>
          <w:rFonts w:ascii="Roboto" w:hAnsi="Roboto"/>
        </w:rPr>
        <w:t>.</w:t>
      </w:r>
    </w:p>
    <w:p w14:paraId="2137E7B9" w14:textId="77777777" w:rsidR="006466F7" w:rsidRPr="006466F7" w:rsidRDefault="000F65E2" w:rsidP="006466F7">
      <w:pPr>
        <w:spacing w:before="480" w:after="480"/>
        <w:rPr>
          <w:rFonts w:ascii="Roboto" w:hAnsi="Roboto"/>
          <w:sz w:val="21"/>
          <w:szCs w:val="21"/>
        </w:rPr>
      </w:pPr>
      <w:r w:rsidRPr="000F65E2">
        <w:rPr>
          <w:noProof/>
          <w14:ligatures w14:val="standardContextual"/>
        </w:rPr>
        <w:pict w14:anchorId="1963C7ED">
          <v:rect id="_x0000_i1025" alt="" style="width:468pt;height:.05pt;mso-width-percent:0;mso-height-percent:0;mso-width-percent:0;mso-height-percent:0" o:hralign="center" o:hrstd="t" o:hr="t" fillcolor="#a0a0a0" stroked="f"/>
        </w:pict>
      </w:r>
    </w:p>
    <w:p w14:paraId="03BBE508" w14:textId="77777777" w:rsidR="00814C5B" w:rsidRPr="00814C5B" w:rsidRDefault="00814C5B" w:rsidP="00814C5B">
      <w:pPr>
        <w:rPr>
          <w:rFonts w:ascii="Roboto" w:hAnsi="Roboto"/>
          <w:b/>
          <w:bCs/>
          <w:sz w:val="30"/>
          <w:szCs w:val="30"/>
        </w:rPr>
      </w:pPr>
      <w:r w:rsidRPr="00814C5B">
        <w:rPr>
          <w:rFonts w:ascii="Roboto" w:hAnsi="Roboto"/>
          <w:b/>
          <w:bCs/>
          <w:sz w:val="30"/>
          <w:szCs w:val="30"/>
        </w:rPr>
        <w:t>VI. CONCLUSION: THE MANDATE FOR STEP-WISE PHYSICAL FALSIFICATION</w:t>
      </w:r>
    </w:p>
    <w:p w14:paraId="312EB328" w14:textId="77777777" w:rsidR="00814C5B" w:rsidRDefault="00814C5B" w:rsidP="00814C5B">
      <w:pPr>
        <w:rPr>
          <w:rFonts w:ascii="Roboto" w:hAnsi="Roboto"/>
        </w:rPr>
      </w:pPr>
    </w:p>
    <w:p w14:paraId="5A4E2924" w14:textId="6C2DB968" w:rsidR="00814C5B" w:rsidRDefault="00814C5B" w:rsidP="00814C5B">
      <w:pPr>
        <w:rPr>
          <w:rFonts w:ascii="Roboto" w:hAnsi="Roboto"/>
        </w:rPr>
      </w:pPr>
      <w:r>
        <w:rPr>
          <w:rFonts w:ascii="Roboto" w:hAnsi="Roboto"/>
        </w:rPr>
        <w:t xml:space="preserve">Science cannot progress by endlessly defending linguistic traditions or hiding behind established dogma to avoid reckoning with new theoretical horizons. The validity of Topological Genome Engineering does not rest on abstract consensus, but on empirical data gates </w:t>
      </w:r>
      <w:r>
        <w:rPr>
          <w:rStyle w:val="HTMLCode"/>
          <w:b/>
          <w:bCs/>
          <w:sz w:val="21"/>
          <w:szCs w:val="21"/>
        </w:rPr>
        <w:t>[3.1]</w:t>
      </w:r>
      <w:r>
        <w:rPr>
          <w:rFonts w:ascii="Roboto" w:hAnsi="Roboto"/>
        </w:rPr>
        <w:t>.</w:t>
      </w:r>
    </w:p>
    <w:p w14:paraId="61FD4F5F" w14:textId="77777777" w:rsidR="00814C5B" w:rsidRDefault="00814C5B" w:rsidP="00814C5B">
      <w:pPr>
        <w:rPr>
          <w:rFonts w:ascii="Roboto" w:hAnsi="Roboto"/>
        </w:rPr>
      </w:pPr>
    </w:p>
    <w:p w14:paraId="038D1DA1" w14:textId="679BE06B" w:rsidR="00814C5B" w:rsidRDefault="00814C5B" w:rsidP="00814C5B">
      <w:pPr>
        <w:rPr>
          <w:rFonts w:ascii="Roboto" w:hAnsi="Roboto"/>
        </w:rPr>
      </w:pPr>
      <w:r>
        <w:rPr>
          <w:rFonts w:ascii="Roboto" w:hAnsi="Roboto"/>
        </w:rPr>
        <w:t xml:space="preserve">MixerMuse, LLC has established an explicit, multi-tiered testing framework built to intentionally invite physical falsification. Stage 1 has verifiably cleared its validation threshold by recording a repeatable 35% reduction in cross-regional conformational distance variance within custom-synthesized 120-bp substrates under cryogenic single-molecule FRET analysis </w:t>
      </w:r>
      <w:r>
        <w:rPr>
          <w:rStyle w:val="HTMLCode"/>
          <w:b/>
          <w:bCs/>
          <w:sz w:val="21"/>
          <w:szCs w:val="21"/>
        </w:rPr>
        <w:t>[Stage 1, 4.3, 4.4]</w:t>
      </w:r>
      <w:r>
        <w:rPr>
          <w:rFonts w:ascii="Roboto" w:hAnsi="Roboto"/>
        </w:rPr>
        <w:t xml:space="preserve">. Having proven the physical reality of </w:t>
      </w:r>
      <w:r>
        <w:rPr>
          <w:rFonts w:ascii="Roboto" w:hAnsi="Roboto"/>
        </w:rPr>
        <w:lastRenderedPageBreak/>
        <w:t xml:space="preserve">sequence-dependent wave resistance at this material baseline </w:t>
      </w:r>
      <w:r>
        <w:rPr>
          <w:rStyle w:val="HTMLCode"/>
          <w:b/>
          <w:bCs/>
          <w:sz w:val="21"/>
          <w:szCs w:val="21"/>
        </w:rPr>
        <w:t>[Claim 4]</w:t>
      </w:r>
      <w:r>
        <w:rPr>
          <w:rFonts w:ascii="Roboto" w:hAnsi="Roboto"/>
        </w:rPr>
        <w:t xml:space="preserve">, the platform moves forward to Stage 2 isothermal terahertz pump-probe spectroscopy sweeps to continuously map these numerical phase-transition boundaries across the real-number room-temperature continuum </w:t>
      </w:r>
      <w:r>
        <w:rPr>
          <w:rStyle w:val="HTMLCode"/>
          <w:b/>
          <w:bCs/>
          <w:sz w:val="21"/>
          <w:szCs w:val="21"/>
        </w:rPr>
        <w:t>[Stage 2, 5.3, 5.4]</w:t>
      </w:r>
      <w:r>
        <w:rPr>
          <w:rFonts w:ascii="Roboto" w:hAnsi="Roboto"/>
        </w:rPr>
        <w:t>. We welcome the biophysics community to judge this framework solely on the unfolding empirical data of these sequential, parameterized gates.</w:t>
      </w:r>
    </w:p>
    <w:p w14:paraId="6034334B" w14:textId="77777777" w:rsidR="00814C5B" w:rsidRDefault="00814C5B" w:rsidP="00814C5B">
      <w:pPr>
        <w:rPr>
          <w:rFonts w:ascii="Roboto" w:hAnsi="Roboto"/>
          <w:b/>
          <w:bCs/>
        </w:rPr>
      </w:pPr>
    </w:p>
    <w:p w14:paraId="57B64AE8" w14:textId="4DDADBEF" w:rsidR="00814C5B" w:rsidRDefault="00814C5B" w:rsidP="00814C5B">
      <w:pPr>
        <w:rPr>
          <w:rFonts w:ascii="Roboto" w:hAnsi="Roboto"/>
          <w:b/>
          <w:bCs/>
          <w:sz w:val="30"/>
          <w:szCs w:val="30"/>
        </w:rPr>
      </w:pPr>
      <w:r w:rsidRPr="00814C5B">
        <w:rPr>
          <w:rFonts w:ascii="Roboto" w:hAnsi="Roboto"/>
          <w:b/>
          <w:bCs/>
          <w:sz w:val="30"/>
          <w:szCs w:val="30"/>
        </w:rPr>
        <w:t>VII. REFERENCES</w:t>
      </w:r>
    </w:p>
    <w:p w14:paraId="27DD2CA5" w14:textId="77777777" w:rsidR="00814C5B" w:rsidRPr="00814C5B" w:rsidRDefault="00814C5B" w:rsidP="00814C5B">
      <w:pPr>
        <w:rPr>
          <w:rFonts w:ascii="Roboto" w:hAnsi="Roboto"/>
          <w:b/>
          <w:bCs/>
          <w:sz w:val="30"/>
          <w:szCs w:val="30"/>
        </w:rPr>
      </w:pPr>
    </w:p>
    <w:p w14:paraId="07648093" w14:textId="77777777" w:rsidR="00814C5B" w:rsidRDefault="00814C5B" w:rsidP="00814C5B">
      <w:pPr>
        <w:pStyle w:val="z1qcye"/>
        <w:numPr>
          <w:ilvl w:val="0"/>
          <w:numId w:val="7"/>
        </w:numPr>
        <w:tabs>
          <w:tab w:val="clear" w:pos="720"/>
        </w:tabs>
        <w:spacing w:before="0" w:beforeAutospacing="0" w:after="0" w:afterAutospacing="0"/>
        <w:ind w:left="450"/>
        <w:rPr>
          <w:rStyle w:val="inqyif"/>
          <w:rFonts w:ascii="Roboto" w:hAnsi="Roboto"/>
        </w:rPr>
      </w:pPr>
      <w:r>
        <w:rPr>
          <w:rStyle w:val="HTMLCode"/>
          <w:b/>
          <w:bCs/>
          <w:sz w:val="21"/>
          <w:szCs w:val="21"/>
        </w:rPr>
        <w:t>[5.1]</w:t>
      </w:r>
      <w:r>
        <w:rPr>
          <w:rStyle w:val="inqyif"/>
          <w:rFonts w:ascii="Roboto" w:hAnsi="Roboto"/>
        </w:rPr>
        <w:t xml:space="preserve"> Dreher, M. R. (2026). </w:t>
      </w:r>
      <w:r>
        <w:rPr>
          <w:rStyle w:val="Emphasis"/>
          <w:rFonts w:ascii="Roboto" w:hAnsi="Roboto"/>
        </w:rPr>
        <w:t>Topological Genome Engineering: Number-Theoretic Spectral Rigidity and Semiclassical Wave Scars as Active Structural Stabilizers in Synthetic Macromolecules (Master Specification Version V6)</w:t>
      </w:r>
      <w:r>
        <w:rPr>
          <w:rStyle w:val="inqyif"/>
          <w:rFonts w:ascii="Roboto" w:hAnsi="Roboto"/>
        </w:rPr>
        <w:t>. MixerMuse, LLC.</w:t>
      </w:r>
    </w:p>
    <w:p w14:paraId="7503461F" w14:textId="77777777" w:rsidR="00814C5B" w:rsidRDefault="00814C5B" w:rsidP="00814C5B">
      <w:pPr>
        <w:pStyle w:val="z1qcye"/>
        <w:spacing w:before="0" w:beforeAutospacing="0" w:after="0" w:afterAutospacing="0"/>
        <w:ind w:left="450"/>
        <w:rPr>
          <w:rFonts w:ascii="Roboto" w:hAnsi="Roboto"/>
        </w:rPr>
      </w:pPr>
    </w:p>
    <w:p w14:paraId="35A53629" w14:textId="77777777" w:rsidR="00814C5B" w:rsidRDefault="00814C5B" w:rsidP="00814C5B">
      <w:pPr>
        <w:pStyle w:val="z1qcye"/>
        <w:numPr>
          <w:ilvl w:val="0"/>
          <w:numId w:val="7"/>
        </w:numPr>
        <w:tabs>
          <w:tab w:val="clear" w:pos="720"/>
        </w:tabs>
        <w:spacing w:before="0" w:beforeAutospacing="0" w:after="0" w:afterAutospacing="0"/>
        <w:ind w:left="450"/>
        <w:rPr>
          <w:rStyle w:val="inqyif"/>
          <w:rFonts w:ascii="Roboto" w:hAnsi="Roboto"/>
        </w:rPr>
      </w:pPr>
      <w:r>
        <w:rPr>
          <w:rStyle w:val="HTMLCode"/>
          <w:b/>
          <w:bCs/>
          <w:sz w:val="21"/>
          <w:szCs w:val="21"/>
        </w:rPr>
        <w:t>[5.2]</w:t>
      </w:r>
      <w:r>
        <w:rPr>
          <w:rStyle w:val="inqyif"/>
          <w:rFonts w:ascii="Roboto" w:hAnsi="Roboto"/>
        </w:rPr>
        <w:t xml:space="preserve"> SantaLucia, J. (1998). A unified view of polymer, checkerboard, and individual-neighbor thermodynamics of DNA B-form double helices. </w:t>
      </w:r>
      <w:r>
        <w:rPr>
          <w:rStyle w:val="Emphasis"/>
          <w:rFonts w:ascii="Roboto" w:hAnsi="Roboto"/>
        </w:rPr>
        <w:t>Proceedings of the National Academy of Sciences</w:t>
      </w:r>
      <w:r>
        <w:rPr>
          <w:rStyle w:val="inqyif"/>
          <w:rFonts w:ascii="Roboto" w:hAnsi="Roboto"/>
        </w:rPr>
        <w:t>, 95(4), 1460–1465.</w:t>
      </w:r>
    </w:p>
    <w:p w14:paraId="0FB3E4D1" w14:textId="77777777" w:rsidR="00814C5B" w:rsidRDefault="00814C5B" w:rsidP="00814C5B">
      <w:pPr>
        <w:pStyle w:val="z1qcye"/>
        <w:spacing w:before="0" w:beforeAutospacing="0" w:after="0" w:afterAutospacing="0"/>
        <w:ind w:left="450"/>
        <w:rPr>
          <w:rFonts w:ascii="Roboto" w:hAnsi="Roboto"/>
        </w:rPr>
      </w:pPr>
    </w:p>
    <w:p w14:paraId="1E1B838F" w14:textId="77777777" w:rsidR="00814C5B" w:rsidRDefault="00814C5B" w:rsidP="00814C5B">
      <w:pPr>
        <w:pStyle w:val="z1qcye"/>
        <w:numPr>
          <w:ilvl w:val="0"/>
          <w:numId w:val="7"/>
        </w:numPr>
        <w:tabs>
          <w:tab w:val="clear" w:pos="720"/>
        </w:tabs>
        <w:spacing w:before="0" w:beforeAutospacing="0" w:after="0" w:afterAutospacing="0"/>
        <w:ind w:left="450"/>
        <w:rPr>
          <w:rFonts w:ascii="Roboto" w:hAnsi="Roboto"/>
        </w:rPr>
      </w:pPr>
      <w:r>
        <w:rPr>
          <w:rStyle w:val="HTMLCode"/>
          <w:b/>
          <w:bCs/>
          <w:sz w:val="21"/>
          <w:szCs w:val="21"/>
        </w:rPr>
        <w:t>[5.3]</w:t>
      </w:r>
      <w:r>
        <w:rPr>
          <w:rStyle w:val="inqyif"/>
          <w:rFonts w:ascii="Roboto" w:hAnsi="Roboto"/>
        </w:rPr>
        <w:t xml:space="preserve"> Heller, E. J. (1984). Bound-state eigenfunctions of classically chaotic systems: Scars of periodic orbits. </w:t>
      </w:r>
      <w:r>
        <w:rPr>
          <w:rStyle w:val="Emphasis"/>
          <w:rFonts w:ascii="Roboto" w:hAnsi="Roboto"/>
        </w:rPr>
        <w:t>Physical Review Letters</w:t>
      </w:r>
      <w:r>
        <w:rPr>
          <w:rStyle w:val="inqyif"/>
          <w:rFonts w:ascii="Roboto" w:hAnsi="Roboto"/>
        </w:rPr>
        <w:t>, 53(16), 1515–1518.</w:t>
      </w:r>
    </w:p>
    <w:p w14:paraId="2E160A7C" w14:textId="7984D381" w:rsidR="00E6165C" w:rsidRPr="000B31FA" w:rsidRDefault="00E6165C" w:rsidP="00814C5B">
      <w:pPr>
        <w:rPr>
          <w:rFonts w:ascii="Roboto" w:hAnsi="Roboto"/>
        </w:rPr>
      </w:pPr>
    </w:p>
    <w:sectPr w:rsidR="00E6165C" w:rsidRPr="000B31FA" w:rsidSect="001679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C0DB35" w14:textId="77777777" w:rsidR="000F65E2" w:rsidRDefault="000F65E2" w:rsidP="0009583A">
      <w:r>
        <w:separator/>
      </w:r>
    </w:p>
  </w:endnote>
  <w:endnote w:type="continuationSeparator" w:id="0">
    <w:p w14:paraId="24BB524E" w14:textId="77777777" w:rsidR="000F65E2" w:rsidRDefault="000F65E2" w:rsidP="0009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3705737"/>
      <w:docPartObj>
        <w:docPartGallery w:val="Page Numbers (Bottom of Page)"/>
        <w:docPartUnique/>
      </w:docPartObj>
    </w:sdtPr>
    <w:sdtContent>
      <w:p w14:paraId="7C353AED" w14:textId="428C6712" w:rsidR="0009583A" w:rsidRDefault="0009583A" w:rsidP="00CB750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1DAA693" w14:textId="77777777" w:rsidR="0009583A" w:rsidRDefault="00095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5985073"/>
      <w:docPartObj>
        <w:docPartGallery w:val="Page Numbers (Bottom of Page)"/>
        <w:docPartUnique/>
      </w:docPartObj>
    </w:sdtPr>
    <w:sdtContent>
      <w:p w14:paraId="3E6E8F7F" w14:textId="3B4E3678" w:rsidR="0009583A" w:rsidRDefault="0009583A" w:rsidP="00CB750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421D64" w14:textId="77777777" w:rsidR="0009583A" w:rsidRDefault="00095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C73B16" w14:textId="77777777" w:rsidR="000F65E2" w:rsidRDefault="000F65E2" w:rsidP="0009583A">
      <w:r>
        <w:separator/>
      </w:r>
    </w:p>
  </w:footnote>
  <w:footnote w:type="continuationSeparator" w:id="0">
    <w:p w14:paraId="3A2522CA" w14:textId="77777777" w:rsidR="000F65E2" w:rsidRDefault="000F65E2" w:rsidP="0009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3DFC16" w14:textId="1340793D" w:rsidR="0009583A" w:rsidRPr="00D05C47" w:rsidRDefault="0009583A" w:rsidP="0009583A">
    <w:pPr>
      <w:rPr>
        <w:rFonts w:ascii="Roboto" w:hAnsi="Roboto"/>
        <w:b/>
        <w:bCs/>
        <w:sz w:val="30"/>
        <w:szCs w:val="30"/>
      </w:rPr>
    </w:pPr>
    <w:r w:rsidRPr="00D05C47">
      <w:rPr>
        <w:rFonts w:ascii="Roboto" w:hAnsi="Roboto"/>
        <w:b/>
        <w:bCs/>
        <w:sz w:val="30"/>
        <w:szCs w:val="30"/>
      </w:rPr>
      <w:t>COMPANION DEFENSE &amp; INTEGRATION MANUSCRIPT:</w:t>
    </w:r>
  </w:p>
  <w:p w14:paraId="7FFCAD7B" w14:textId="77777777" w:rsidR="0009583A" w:rsidRPr="00D05C47" w:rsidRDefault="0009583A" w:rsidP="0009583A">
    <w:pPr>
      <w:rPr>
        <w:rFonts w:ascii="Roboto" w:hAnsi="Roboto"/>
        <w:b/>
        <w:bCs/>
        <w:sz w:val="30"/>
        <w:szCs w:val="30"/>
      </w:rPr>
    </w:pPr>
    <w:r w:rsidRPr="00D05C47">
      <w:rPr>
        <w:rFonts w:ascii="Roboto" w:hAnsi="Roboto"/>
        <w:b/>
        <w:bCs/>
        <w:sz w:val="30"/>
        <w:szCs w:val="30"/>
      </w:rPr>
      <w:t>RECONCILING NUMBER-THEORETIC SPECTRAL RIGIDITY WITH DISCIPLINARY CONSENSUS IN MACROMOLECULAR BIOPHYSICS</w:t>
    </w:r>
  </w:p>
  <w:p w14:paraId="1B98518E" w14:textId="77777777" w:rsidR="0009583A" w:rsidRDefault="0009583A" w:rsidP="0009583A">
    <w:pPr>
      <w:rPr>
        <w:rFonts w:ascii="Roboto" w:hAnsi="Roboto"/>
        <w:b/>
        <w:bCs/>
      </w:rPr>
    </w:pPr>
  </w:p>
  <w:p w14:paraId="66F8E121" w14:textId="2B77D39B" w:rsidR="0009583A" w:rsidRDefault="0009583A" w:rsidP="0009583A">
    <w:pPr>
      <w:rPr>
        <w:rFonts w:ascii="Roboto" w:hAnsi="Roboto"/>
      </w:rPr>
    </w:pPr>
    <w:r w:rsidRPr="00D05C47">
      <w:rPr>
        <w:rFonts w:ascii="Roboto" w:hAnsi="Roboto"/>
        <w:b/>
        <w:bCs/>
      </w:rPr>
      <w:t>Author:</w:t>
    </w:r>
    <w:r w:rsidRPr="00D05C47">
      <w:rPr>
        <w:rFonts w:ascii="Roboto" w:hAnsi="Roboto"/>
      </w:rPr>
      <w:t xml:space="preserve"> Mark Randall Dreher</w:t>
    </w:r>
    <w:r w:rsidRPr="00D05C47">
      <w:rPr>
        <w:rFonts w:ascii="Roboto" w:hAnsi="Roboto"/>
      </w:rPr>
      <w:br/>
    </w:r>
    <w:r w:rsidRPr="00D05C47">
      <w:rPr>
        <w:rFonts w:ascii="Roboto" w:hAnsi="Roboto"/>
        <w:b/>
        <w:bCs/>
      </w:rPr>
      <w:t>Affiliation:</w:t>
    </w:r>
    <w:r w:rsidRPr="00D05C47">
      <w:rPr>
        <w:rFonts w:ascii="Roboto" w:hAnsi="Roboto"/>
      </w:rPr>
      <w:t xml:space="preserve"> MixerMuse, LLC, Louisville, Colorado</w:t>
    </w:r>
    <w:r w:rsidRPr="00D05C47">
      <w:rPr>
        <w:rFonts w:ascii="Roboto" w:hAnsi="Roboto"/>
      </w:rPr>
      <w:br/>
    </w:r>
    <w:r w:rsidRPr="00D05C47">
      <w:rPr>
        <w:rFonts w:ascii="Roboto" w:hAnsi="Roboto"/>
        <w:b/>
        <w:bCs/>
      </w:rPr>
      <w:t>ORCID iD:</w:t>
    </w:r>
    <w:r w:rsidRPr="00D05C47">
      <w:rPr>
        <w:rFonts w:ascii="Roboto" w:hAnsi="Roboto"/>
      </w:rPr>
      <w:t xml:space="preserve"> 0009-0001-8341-8175</w:t>
    </w:r>
    <w:r w:rsidRPr="00D05C47">
      <w:rPr>
        <w:rFonts w:ascii="Roboto" w:hAnsi="Roboto"/>
      </w:rPr>
      <w:br/>
    </w:r>
    <w:r w:rsidRPr="00D05C47">
      <w:rPr>
        <w:rFonts w:ascii="Roboto" w:hAnsi="Roboto"/>
        <w:b/>
        <w:bCs/>
      </w:rPr>
      <w:t>Document Status:</w:t>
    </w:r>
    <w:r w:rsidRPr="00D05C47">
      <w:rPr>
        <w:rFonts w:ascii="Roboto" w:hAnsi="Roboto"/>
      </w:rPr>
      <w:t xml:space="preserve"> Official Companion Addendum to Master Specification V6</w:t>
    </w:r>
  </w:p>
  <w:p w14:paraId="5E4FED3E" w14:textId="77777777" w:rsidR="0009583A" w:rsidRPr="0009583A" w:rsidRDefault="0009583A" w:rsidP="0009583A">
    <w:pPr>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481DB0"/>
    <w:multiLevelType w:val="multilevel"/>
    <w:tmpl w:val="D46A70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 w15:restartNumberingAfterBreak="0">
    <w:nsid w:val="12DD5A2A"/>
    <w:multiLevelType w:val="multilevel"/>
    <w:tmpl w:val="217034B8"/>
    <w:lvl w:ilvl="0">
      <w:start w:val="1"/>
      <w:numFmt w:val="bullet"/>
      <w:pStyle w:val="BodyTextBulle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608F1"/>
    <w:multiLevelType w:val="multilevel"/>
    <w:tmpl w:val="8A2C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A84565"/>
    <w:multiLevelType w:val="multilevel"/>
    <w:tmpl w:val="FE6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20F59"/>
    <w:multiLevelType w:val="multilevel"/>
    <w:tmpl w:val="04E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7946AF"/>
    <w:multiLevelType w:val="hybridMultilevel"/>
    <w:tmpl w:val="D7BA9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C5367F"/>
    <w:multiLevelType w:val="multilevel"/>
    <w:tmpl w:val="E41C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201726">
    <w:abstractNumId w:val="1"/>
  </w:num>
  <w:num w:numId="2" w16cid:durableId="1051461483">
    <w:abstractNumId w:val="2"/>
  </w:num>
  <w:num w:numId="3" w16cid:durableId="1764449138">
    <w:abstractNumId w:val="4"/>
  </w:num>
  <w:num w:numId="4" w16cid:durableId="1175804407">
    <w:abstractNumId w:val="3"/>
  </w:num>
  <w:num w:numId="5" w16cid:durableId="951325046">
    <w:abstractNumId w:val="0"/>
  </w:num>
  <w:num w:numId="6" w16cid:durableId="542789242">
    <w:abstractNumId w:val="5"/>
  </w:num>
  <w:num w:numId="7" w16cid:durableId="10554517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C47"/>
    <w:rsid w:val="00000ACF"/>
    <w:rsid w:val="0009583A"/>
    <w:rsid w:val="000B31FA"/>
    <w:rsid w:val="000F65E2"/>
    <w:rsid w:val="001679E7"/>
    <w:rsid w:val="001727AF"/>
    <w:rsid w:val="0017345F"/>
    <w:rsid w:val="001762CA"/>
    <w:rsid w:val="001B7A83"/>
    <w:rsid w:val="001F0D52"/>
    <w:rsid w:val="00207713"/>
    <w:rsid w:val="002C1852"/>
    <w:rsid w:val="002F6F85"/>
    <w:rsid w:val="003333F6"/>
    <w:rsid w:val="00396E85"/>
    <w:rsid w:val="003A629D"/>
    <w:rsid w:val="003B2421"/>
    <w:rsid w:val="003E6883"/>
    <w:rsid w:val="0044374E"/>
    <w:rsid w:val="00484213"/>
    <w:rsid w:val="00487028"/>
    <w:rsid w:val="00590F5A"/>
    <w:rsid w:val="005A48D9"/>
    <w:rsid w:val="005D4CD1"/>
    <w:rsid w:val="005D4DFE"/>
    <w:rsid w:val="006466F7"/>
    <w:rsid w:val="0064696A"/>
    <w:rsid w:val="006E6F13"/>
    <w:rsid w:val="006F2278"/>
    <w:rsid w:val="00712B09"/>
    <w:rsid w:val="007133FF"/>
    <w:rsid w:val="00743311"/>
    <w:rsid w:val="007877D4"/>
    <w:rsid w:val="00814C5B"/>
    <w:rsid w:val="00897291"/>
    <w:rsid w:val="008E3262"/>
    <w:rsid w:val="008F60BF"/>
    <w:rsid w:val="00920002"/>
    <w:rsid w:val="0093293C"/>
    <w:rsid w:val="009C5C40"/>
    <w:rsid w:val="009C7DD9"/>
    <w:rsid w:val="009D1212"/>
    <w:rsid w:val="00A17F1A"/>
    <w:rsid w:val="00AD043D"/>
    <w:rsid w:val="00B40D5D"/>
    <w:rsid w:val="00C25B71"/>
    <w:rsid w:val="00C62216"/>
    <w:rsid w:val="00CF08E4"/>
    <w:rsid w:val="00CF68D5"/>
    <w:rsid w:val="00D0584B"/>
    <w:rsid w:val="00D05C47"/>
    <w:rsid w:val="00D123A6"/>
    <w:rsid w:val="00DA29B5"/>
    <w:rsid w:val="00DC3807"/>
    <w:rsid w:val="00E6165C"/>
    <w:rsid w:val="00F3010E"/>
    <w:rsid w:val="00F55CFC"/>
    <w:rsid w:val="00FC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8A052"/>
  <w15:chartTrackingRefBased/>
  <w15:docId w15:val="{26C14D70-A2AD-7241-BAAB-B17E6621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F5A"/>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autoRedefine/>
    <w:uiPriority w:val="9"/>
    <w:qFormat/>
    <w:rsid w:val="003B2421"/>
    <w:pPr>
      <w:keepNext/>
      <w:keepLines/>
      <w:spacing w:before="360" w:after="80" w:line="278" w:lineRule="auto"/>
      <w:outlineLvl w:val="0"/>
    </w:pPr>
    <w:rPr>
      <w:rFonts w:ascii="Arial" w:eastAsiaTheme="majorEastAsia" w:hAnsi="Arial" w:cstheme="majorBidi"/>
      <w:b/>
      <w:color w:val="000000" w:themeColor="text1"/>
      <w:kern w:val="2"/>
      <w:sz w:val="28"/>
      <w:szCs w:val="40"/>
      <w14:ligatures w14:val="standardContextual"/>
    </w:rPr>
  </w:style>
  <w:style w:type="paragraph" w:styleId="Heading2">
    <w:name w:val="heading 2"/>
    <w:basedOn w:val="Normal"/>
    <w:next w:val="Normal"/>
    <w:link w:val="Heading2Char"/>
    <w:autoRedefine/>
    <w:uiPriority w:val="9"/>
    <w:unhideWhenUsed/>
    <w:qFormat/>
    <w:rsid w:val="003B2421"/>
    <w:pPr>
      <w:keepNext/>
      <w:keepLines/>
      <w:spacing w:before="160" w:after="80" w:line="278" w:lineRule="auto"/>
      <w:outlineLvl w:val="1"/>
    </w:pPr>
    <w:rPr>
      <w:rFonts w:ascii="Arial" w:eastAsiaTheme="majorEastAsia" w:hAnsi="Arial" w:cstheme="majorBidi"/>
      <w:color w:val="000000" w:themeColor="text1"/>
      <w:kern w:val="2"/>
      <w:sz w:val="28"/>
      <w:szCs w:val="32"/>
      <w14:ligatures w14:val="standardContextual"/>
    </w:rPr>
  </w:style>
  <w:style w:type="paragraph" w:styleId="Heading3">
    <w:name w:val="heading 3"/>
    <w:basedOn w:val="Normal"/>
    <w:next w:val="Normal"/>
    <w:link w:val="Heading3Char"/>
    <w:uiPriority w:val="9"/>
    <w:unhideWhenUsed/>
    <w:qFormat/>
    <w:rsid w:val="003A629D"/>
    <w:pPr>
      <w:keepNext/>
      <w:keepLines/>
      <w:spacing w:before="160" w:after="80" w:line="278" w:lineRule="auto"/>
      <w:outlineLvl w:val="2"/>
    </w:pPr>
    <w:rPr>
      <w:rFonts w:asciiTheme="minorHAnsi" w:eastAsiaTheme="majorEastAsia" w:hAnsiTheme="minorHAnsi" w:cstheme="majorBidi"/>
      <w:color w:val="000000" w:themeColor="text1"/>
      <w:kern w:val="2"/>
      <w:sz w:val="20"/>
      <w:szCs w:val="28"/>
      <w14:ligatures w14:val="standardContextual"/>
    </w:rPr>
  </w:style>
  <w:style w:type="paragraph" w:styleId="Heading4">
    <w:name w:val="heading 4"/>
    <w:basedOn w:val="Normal"/>
    <w:next w:val="Normal"/>
    <w:link w:val="Heading4Char"/>
    <w:uiPriority w:val="9"/>
    <w:semiHidden/>
    <w:unhideWhenUsed/>
    <w:qFormat/>
    <w:rsid w:val="00D05C4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05C4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05C4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05C4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05C4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05C4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2421"/>
    <w:rPr>
      <w:rFonts w:ascii="Arial" w:eastAsiaTheme="majorEastAsia" w:hAnsi="Arial" w:cstheme="majorBidi"/>
      <w:color w:val="000000" w:themeColor="text1"/>
      <w:sz w:val="28"/>
      <w:szCs w:val="32"/>
    </w:rPr>
  </w:style>
  <w:style w:type="character" w:customStyle="1" w:styleId="Heading1Char">
    <w:name w:val="Heading 1 Char"/>
    <w:basedOn w:val="DefaultParagraphFont"/>
    <w:link w:val="Heading1"/>
    <w:uiPriority w:val="9"/>
    <w:rsid w:val="003B2421"/>
    <w:rPr>
      <w:rFonts w:ascii="Arial" w:eastAsiaTheme="majorEastAsia" w:hAnsi="Arial" w:cstheme="majorBidi"/>
      <w:b/>
      <w:color w:val="000000" w:themeColor="text1"/>
      <w:sz w:val="28"/>
      <w:szCs w:val="40"/>
    </w:rPr>
  </w:style>
  <w:style w:type="paragraph" w:styleId="TOCHeading">
    <w:name w:val="TOC Heading"/>
    <w:basedOn w:val="Heading1"/>
    <w:next w:val="Normal"/>
    <w:autoRedefine/>
    <w:uiPriority w:val="39"/>
    <w:unhideWhenUsed/>
    <w:qFormat/>
    <w:rsid w:val="003B2421"/>
    <w:pPr>
      <w:spacing w:before="480" w:after="0" w:line="276" w:lineRule="auto"/>
      <w:jc w:val="center"/>
      <w:outlineLvl w:val="9"/>
    </w:pPr>
    <w:rPr>
      <w:rFonts w:eastAsia="Times New Roman" w:cstheme="minorBidi"/>
      <w:bCs/>
      <w:color w:val="auto"/>
      <w:sz w:val="32"/>
      <w:szCs w:val="24"/>
    </w:rPr>
  </w:style>
  <w:style w:type="character" w:styleId="IntenseReference">
    <w:name w:val="Intense Reference"/>
    <w:basedOn w:val="DefaultParagraphFont"/>
    <w:uiPriority w:val="32"/>
    <w:qFormat/>
    <w:rsid w:val="003A629D"/>
    <w:rPr>
      <w:b/>
      <w:bCs/>
      <w:smallCaps/>
      <w:color w:val="000000" w:themeColor="text1"/>
      <w:spacing w:val="5"/>
      <w:sz w:val="22"/>
    </w:rPr>
  </w:style>
  <w:style w:type="character" w:customStyle="1" w:styleId="Heading3Char">
    <w:name w:val="Heading 3 Char"/>
    <w:basedOn w:val="DefaultParagraphFont"/>
    <w:link w:val="Heading3"/>
    <w:uiPriority w:val="9"/>
    <w:rsid w:val="003A629D"/>
    <w:rPr>
      <w:rFonts w:eastAsiaTheme="majorEastAsia" w:cstheme="majorBidi"/>
      <w:color w:val="000000" w:themeColor="text1"/>
      <w:sz w:val="20"/>
      <w:szCs w:val="28"/>
    </w:rPr>
  </w:style>
  <w:style w:type="paragraph" w:customStyle="1" w:styleId="BodyTextPapers">
    <w:name w:val="BodyTextPapers"/>
    <w:basedOn w:val="Normal"/>
    <w:qFormat/>
    <w:rsid w:val="003A629D"/>
    <w:pPr>
      <w:shd w:val="clear" w:color="auto" w:fill="FFFFFF"/>
      <w:spacing w:before="100" w:beforeAutospacing="1" w:after="270" w:line="315" w:lineRule="atLeast"/>
    </w:pPr>
    <w:rPr>
      <w:rFonts w:ascii="Arial" w:hAnsi="Arial" w:cs="Arial"/>
      <w:color w:val="1B1B1E"/>
      <w:sz w:val="21"/>
      <w:szCs w:val="21"/>
    </w:rPr>
  </w:style>
  <w:style w:type="paragraph" w:customStyle="1" w:styleId="BodyTextBullets">
    <w:name w:val="BodyTextBullets"/>
    <w:basedOn w:val="Normal"/>
    <w:qFormat/>
    <w:rsid w:val="003A629D"/>
    <w:pPr>
      <w:numPr>
        <w:numId w:val="1"/>
      </w:numPr>
      <w:shd w:val="clear" w:color="auto" w:fill="FFFFFF"/>
      <w:spacing w:after="105" w:line="315" w:lineRule="atLeast"/>
    </w:pPr>
    <w:rPr>
      <w:rFonts w:ascii="Arial" w:hAnsi="Arial" w:cs="Arial"/>
      <w:color w:val="1B1B1E"/>
      <w:sz w:val="21"/>
      <w:szCs w:val="21"/>
    </w:rPr>
  </w:style>
  <w:style w:type="character" w:customStyle="1" w:styleId="Heading4Char">
    <w:name w:val="Heading 4 Char"/>
    <w:basedOn w:val="DefaultParagraphFont"/>
    <w:link w:val="Heading4"/>
    <w:uiPriority w:val="9"/>
    <w:semiHidden/>
    <w:rsid w:val="00D05C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C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C47"/>
    <w:rPr>
      <w:rFonts w:eastAsiaTheme="majorEastAsia" w:cstheme="majorBidi"/>
      <w:color w:val="272727" w:themeColor="text1" w:themeTint="D8"/>
    </w:rPr>
  </w:style>
  <w:style w:type="paragraph" w:styleId="Title">
    <w:name w:val="Title"/>
    <w:basedOn w:val="Normal"/>
    <w:next w:val="Normal"/>
    <w:link w:val="TitleChar"/>
    <w:uiPriority w:val="10"/>
    <w:qFormat/>
    <w:rsid w:val="00D05C4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05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C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05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C47"/>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05C47"/>
    <w:rPr>
      <w:i/>
      <w:iCs/>
      <w:color w:val="404040" w:themeColor="text1" w:themeTint="BF"/>
    </w:rPr>
  </w:style>
  <w:style w:type="paragraph" w:styleId="ListParagraph">
    <w:name w:val="List Paragraph"/>
    <w:basedOn w:val="Normal"/>
    <w:uiPriority w:val="34"/>
    <w:qFormat/>
    <w:rsid w:val="00D05C47"/>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D05C47"/>
    <w:rPr>
      <w:i/>
      <w:iCs/>
      <w:color w:val="0F4761" w:themeColor="accent1" w:themeShade="BF"/>
    </w:rPr>
  </w:style>
  <w:style w:type="paragraph" w:styleId="IntenseQuote">
    <w:name w:val="Intense Quote"/>
    <w:basedOn w:val="Normal"/>
    <w:next w:val="Normal"/>
    <w:link w:val="IntenseQuoteChar"/>
    <w:uiPriority w:val="30"/>
    <w:qFormat/>
    <w:rsid w:val="00D05C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05C47"/>
    <w:rPr>
      <w:i/>
      <w:iCs/>
      <w:color w:val="0F4761" w:themeColor="accent1" w:themeShade="BF"/>
    </w:rPr>
  </w:style>
  <w:style w:type="character" w:styleId="Strong">
    <w:name w:val="Strong"/>
    <w:basedOn w:val="DefaultParagraphFont"/>
    <w:uiPriority w:val="22"/>
    <w:qFormat/>
    <w:rsid w:val="00D05C47"/>
    <w:rPr>
      <w:b/>
      <w:bCs/>
    </w:rPr>
  </w:style>
  <w:style w:type="character" w:styleId="Emphasis">
    <w:name w:val="Emphasis"/>
    <w:basedOn w:val="DefaultParagraphFont"/>
    <w:uiPriority w:val="20"/>
    <w:qFormat/>
    <w:rsid w:val="00D05C47"/>
    <w:rPr>
      <w:i/>
      <w:iCs/>
    </w:rPr>
  </w:style>
  <w:style w:type="paragraph" w:customStyle="1" w:styleId="z1qcye">
    <w:name w:val="z1qcye"/>
    <w:basedOn w:val="Normal"/>
    <w:rsid w:val="00D05C47"/>
    <w:pPr>
      <w:spacing w:before="100" w:beforeAutospacing="1" w:after="100" w:afterAutospacing="1"/>
    </w:pPr>
  </w:style>
  <w:style w:type="character" w:customStyle="1" w:styleId="inqyif">
    <w:name w:val="inqyif"/>
    <w:basedOn w:val="DefaultParagraphFont"/>
    <w:rsid w:val="00D05C47"/>
  </w:style>
  <w:style w:type="character" w:styleId="BookTitle">
    <w:name w:val="Book Title"/>
    <w:basedOn w:val="DefaultParagraphFont"/>
    <w:uiPriority w:val="33"/>
    <w:qFormat/>
    <w:rsid w:val="001679E7"/>
    <w:rPr>
      <w:b/>
      <w:bCs/>
      <w:i/>
      <w:iCs/>
      <w:spacing w:val="5"/>
    </w:rPr>
  </w:style>
  <w:style w:type="paragraph" w:styleId="Caption">
    <w:name w:val="caption"/>
    <w:basedOn w:val="Normal"/>
    <w:next w:val="Normal"/>
    <w:uiPriority w:val="35"/>
    <w:semiHidden/>
    <w:unhideWhenUsed/>
    <w:qFormat/>
    <w:rsid w:val="001679E7"/>
    <w:pPr>
      <w:spacing w:after="200"/>
    </w:pPr>
    <w:rPr>
      <w:rFonts w:asciiTheme="minorHAnsi" w:hAnsiTheme="minorHAnsi" w:cstheme="minorBidi"/>
      <w:i/>
      <w:iCs/>
      <w:color w:val="0E2841" w:themeColor="text2"/>
      <w:kern w:val="2"/>
      <w:sz w:val="18"/>
      <w:szCs w:val="18"/>
      <w14:ligatures w14:val="standardContextual"/>
    </w:rPr>
  </w:style>
  <w:style w:type="paragraph" w:styleId="NoSpacing">
    <w:name w:val="No Spacing"/>
    <w:uiPriority w:val="1"/>
    <w:qFormat/>
    <w:rsid w:val="001679E7"/>
    <w:pPr>
      <w:spacing w:after="0" w:line="240" w:lineRule="auto"/>
    </w:pPr>
  </w:style>
  <w:style w:type="character" w:styleId="SubtleEmphasis">
    <w:name w:val="Subtle Emphasis"/>
    <w:basedOn w:val="DefaultParagraphFont"/>
    <w:uiPriority w:val="19"/>
    <w:qFormat/>
    <w:rsid w:val="001679E7"/>
    <w:rPr>
      <w:i/>
      <w:iCs/>
      <w:color w:val="404040" w:themeColor="text1" w:themeTint="BF"/>
    </w:rPr>
  </w:style>
  <w:style w:type="character" w:styleId="SubtleReference">
    <w:name w:val="Subtle Reference"/>
    <w:basedOn w:val="DefaultParagraphFont"/>
    <w:uiPriority w:val="31"/>
    <w:qFormat/>
    <w:rsid w:val="001679E7"/>
    <w:rPr>
      <w:smallCaps/>
      <w:color w:val="5A5A5A" w:themeColor="text1" w:themeTint="A5"/>
    </w:rPr>
  </w:style>
  <w:style w:type="paragraph" w:styleId="Header">
    <w:name w:val="header"/>
    <w:basedOn w:val="Normal"/>
    <w:link w:val="HeaderChar"/>
    <w:uiPriority w:val="99"/>
    <w:unhideWhenUsed/>
    <w:rsid w:val="0009583A"/>
    <w:pPr>
      <w:tabs>
        <w:tab w:val="center" w:pos="4680"/>
        <w:tab w:val="right" w:pos="9360"/>
      </w:tabs>
    </w:pPr>
    <w:rPr>
      <w:rFonts w:asciiTheme="minorHAnsi" w:hAnsiTheme="minorHAnsi" w:cstheme="minorBidi"/>
      <w:kern w:val="2"/>
      <w14:ligatures w14:val="standardContextual"/>
    </w:rPr>
  </w:style>
  <w:style w:type="character" w:customStyle="1" w:styleId="HeaderChar">
    <w:name w:val="Header Char"/>
    <w:basedOn w:val="DefaultParagraphFont"/>
    <w:link w:val="Header"/>
    <w:uiPriority w:val="99"/>
    <w:rsid w:val="0009583A"/>
  </w:style>
  <w:style w:type="paragraph" w:styleId="Footer">
    <w:name w:val="footer"/>
    <w:basedOn w:val="Normal"/>
    <w:link w:val="FooterChar"/>
    <w:uiPriority w:val="99"/>
    <w:unhideWhenUsed/>
    <w:rsid w:val="0009583A"/>
    <w:pPr>
      <w:tabs>
        <w:tab w:val="center" w:pos="4680"/>
        <w:tab w:val="right" w:pos="9360"/>
      </w:tabs>
    </w:pPr>
    <w:rPr>
      <w:rFonts w:asciiTheme="minorHAnsi" w:hAnsiTheme="minorHAnsi" w:cstheme="minorBidi"/>
      <w:kern w:val="2"/>
      <w14:ligatures w14:val="standardContextual"/>
    </w:rPr>
  </w:style>
  <w:style w:type="character" w:customStyle="1" w:styleId="FooterChar">
    <w:name w:val="Footer Char"/>
    <w:basedOn w:val="DefaultParagraphFont"/>
    <w:link w:val="Footer"/>
    <w:uiPriority w:val="99"/>
    <w:rsid w:val="0009583A"/>
  </w:style>
  <w:style w:type="character" w:styleId="PageNumber">
    <w:name w:val="page number"/>
    <w:basedOn w:val="DefaultParagraphFont"/>
    <w:uiPriority w:val="99"/>
    <w:semiHidden/>
    <w:unhideWhenUsed/>
    <w:rsid w:val="0009583A"/>
  </w:style>
  <w:style w:type="character" w:styleId="HTMLCode">
    <w:name w:val="HTML Code"/>
    <w:basedOn w:val="DefaultParagraphFont"/>
    <w:uiPriority w:val="99"/>
    <w:semiHidden/>
    <w:unhideWhenUsed/>
    <w:rsid w:val="00590F5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9</Pages>
  <Words>2604</Words>
  <Characters>14843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Dreher</dc:creator>
  <cp:keywords/>
  <dc:description/>
  <cp:lastModifiedBy>Mark Dreher</cp:lastModifiedBy>
  <cp:revision>9</cp:revision>
  <dcterms:created xsi:type="dcterms:W3CDTF">2026-10-21T15:53:00Z</dcterms:created>
  <dcterms:modified xsi:type="dcterms:W3CDTF">2026-10-21T22:08:00Z</dcterms:modified>
</cp:coreProperties>
</file>